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5B2B"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1. Objeto</w:t>
      </w:r>
    </w:p>
    <w:p w14:paraId="7E699632" w14:textId="77777777" w:rsidR="005519F7" w:rsidRPr="005519F7" w:rsidRDefault="005519F7" w:rsidP="005519F7">
      <w:pPr>
        <w:widowControl w:val="0"/>
        <w:jc w:val="both"/>
        <w:rPr>
          <w:rFonts w:cs="Arial"/>
          <w:lang w:val="es-CO"/>
        </w:rPr>
      </w:pPr>
    </w:p>
    <w:p w14:paraId="6C794122" w14:textId="05969F4A" w:rsidR="007A1842" w:rsidRPr="005519F7" w:rsidRDefault="00000000" w:rsidP="005519F7">
      <w:pPr>
        <w:widowControl w:val="0"/>
        <w:jc w:val="both"/>
        <w:rPr>
          <w:rFonts w:cs="Arial"/>
          <w:lang w:val="es-CO"/>
        </w:rPr>
      </w:pPr>
      <w:r w:rsidRPr="005519F7">
        <w:rPr>
          <w:rFonts w:cs="Arial"/>
          <w:lang w:val="es-CO"/>
        </w:rPr>
        <w:t>La presente memoria justificativa tiene por objeto sustentar la necesidad, oportunidad, conveniencia, alcance, razonabilidad administrativa, impacto preliminar e implementación del proyecto de resolución mediante el cual la Superintendencia de Transporte propone establecer condiciones mínimas de documentación, trazabilidad, conservación, disponibilidad de evidencia y verificabilidad administrativa respecto de procesos de higienización aplicados a contenedores vacíos en instalaciones portuarias y zonas logísticas funcionalmente asociadas.</w:t>
      </w:r>
    </w:p>
    <w:p w14:paraId="1C2A4535" w14:textId="77777777" w:rsidR="005519F7" w:rsidRPr="005519F7" w:rsidRDefault="005519F7" w:rsidP="005519F7">
      <w:pPr>
        <w:widowControl w:val="0"/>
        <w:jc w:val="both"/>
        <w:rPr>
          <w:rFonts w:cs="Arial"/>
          <w:lang w:val="es-CO"/>
        </w:rPr>
      </w:pPr>
    </w:p>
    <w:p w14:paraId="02C49E41" w14:textId="45147D51" w:rsidR="007A1842" w:rsidRPr="004E7F58" w:rsidRDefault="00000000" w:rsidP="005519F7">
      <w:pPr>
        <w:widowControl w:val="0"/>
        <w:jc w:val="both"/>
        <w:rPr>
          <w:rFonts w:cs="Arial"/>
          <w:lang w:val="es-CO"/>
        </w:rPr>
      </w:pPr>
      <w:r w:rsidRPr="005519F7">
        <w:rPr>
          <w:rFonts w:cs="Arial"/>
          <w:lang w:val="es-CO"/>
        </w:rPr>
        <w:t xml:space="preserve">La memoria se estructura bajo una premisa central: el proyecto no tiene por objeto regular, validar, certificar, homologar, autorizar, avalar o calificar la eficacia sanitaria, fitosanitaria, ambiental, microbiológica, de inocuidad, aduanera, comercial o técnica intrínseca del tratamiento aplicado. </w:t>
      </w:r>
      <w:r w:rsidR="004E7F58" w:rsidRPr="004E7F58">
        <w:rPr>
          <w:rFonts w:cs="Arial"/>
          <w:lang w:val="es-CO"/>
        </w:rPr>
        <w:t>Su finalidad se limita a fortalecer la capacidad institucional de revisión de soportes, reconstrucción administrativa, trazabilidad documental y verificación administrativa para el ejercicio de inspección, vigilancia y control.</w:t>
      </w:r>
    </w:p>
    <w:p w14:paraId="54040059" w14:textId="77777777" w:rsidR="005519F7" w:rsidRPr="005519F7" w:rsidRDefault="005519F7" w:rsidP="005519F7">
      <w:pPr>
        <w:widowControl w:val="0"/>
        <w:jc w:val="both"/>
        <w:rPr>
          <w:rFonts w:cs="Arial"/>
          <w:lang w:val="es-CO"/>
        </w:rPr>
      </w:pPr>
    </w:p>
    <w:p w14:paraId="4BF7E27A" w14:textId="77777777" w:rsidR="007A1842" w:rsidRPr="005519F7" w:rsidRDefault="00000000" w:rsidP="005519F7">
      <w:pPr>
        <w:widowControl w:val="0"/>
        <w:jc w:val="both"/>
        <w:rPr>
          <w:rFonts w:cs="Arial"/>
          <w:lang w:val="es-CO"/>
        </w:rPr>
      </w:pPr>
      <w:r w:rsidRPr="005519F7">
        <w:rPr>
          <w:rFonts w:cs="Arial"/>
          <w:lang w:val="es-CO"/>
        </w:rPr>
        <w:t>El proyecto tampoco desarrolla una metodología de higienización. La referencia a procesos de higienización se utiliza exclusivamente para identificar una práctica operativa documentable en el entorno portuario, respecto de la cual se busca ordenar la trazabilidad documental sin invadir competencias de otras autoridades.</w:t>
      </w:r>
    </w:p>
    <w:p w14:paraId="43592875" w14:textId="77777777" w:rsidR="005519F7" w:rsidRPr="005519F7" w:rsidRDefault="005519F7" w:rsidP="005519F7">
      <w:pPr>
        <w:widowControl w:val="0"/>
        <w:jc w:val="both"/>
        <w:rPr>
          <w:rFonts w:cs="Arial"/>
          <w:lang w:val="es-CO"/>
        </w:rPr>
      </w:pPr>
    </w:p>
    <w:p w14:paraId="7FB84B5E" w14:textId="77777777" w:rsidR="007A1842" w:rsidRPr="004C744D" w:rsidRDefault="00000000" w:rsidP="005519F7">
      <w:pPr>
        <w:pStyle w:val="Ttulo1"/>
        <w:keepNext w:val="0"/>
        <w:keepLines w:val="0"/>
        <w:widowControl w:val="0"/>
        <w:rPr>
          <w:rFonts w:ascii="Arial" w:hAnsi="Arial" w:cs="Arial"/>
          <w:bCs w:val="0"/>
          <w:color w:val="auto"/>
          <w:sz w:val="22"/>
          <w:szCs w:val="22"/>
          <w:lang w:val="es-CO"/>
        </w:rPr>
      </w:pPr>
      <w:r w:rsidRPr="004C744D">
        <w:rPr>
          <w:rFonts w:ascii="Arial" w:eastAsia="Arial" w:hAnsi="Arial" w:cs="Arial"/>
          <w:bCs w:val="0"/>
          <w:color w:val="auto"/>
          <w:sz w:val="22"/>
          <w:szCs w:val="22"/>
          <w:lang w:val="es-CO"/>
        </w:rPr>
        <w:t>2. Antecedentes y ajustes de revisión interna</w:t>
      </w:r>
    </w:p>
    <w:p w14:paraId="0180376E" w14:textId="77777777" w:rsidR="005519F7" w:rsidRPr="005519F7" w:rsidRDefault="005519F7" w:rsidP="005519F7">
      <w:pPr>
        <w:widowControl w:val="0"/>
        <w:jc w:val="both"/>
        <w:rPr>
          <w:rFonts w:cs="Arial"/>
          <w:lang w:val="es-CO"/>
        </w:rPr>
      </w:pPr>
    </w:p>
    <w:p w14:paraId="5C305F51" w14:textId="11F47270" w:rsidR="007A1842" w:rsidRPr="004E7F58" w:rsidRDefault="00000000" w:rsidP="005519F7">
      <w:pPr>
        <w:widowControl w:val="0"/>
        <w:jc w:val="both"/>
        <w:rPr>
          <w:rFonts w:cs="Arial"/>
          <w:lang w:val="es-CO"/>
        </w:rPr>
      </w:pPr>
      <w:r w:rsidRPr="005519F7">
        <w:rPr>
          <w:rFonts w:cs="Arial"/>
          <w:lang w:val="es-CO"/>
        </w:rPr>
        <w:t xml:space="preserve">El 20 de mayo de 2026 se remitió para revisión interna un paquete base del acto administrativo integrado por proyecto de resolución, anexo técnico, memoria justificativa y concepto de viabilidad jurídica. </w:t>
      </w:r>
      <w:r w:rsidR="004E7F58" w:rsidRPr="004E7F58">
        <w:rPr>
          <w:rFonts w:cs="Arial"/>
          <w:lang w:val="es-CO"/>
        </w:rPr>
        <w:t>Posteriormente, con ocasión de la revisión interna adelantada y de la</w:t>
      </w:r>
      <w:r w:rsidR="004E7F58">
        <w:rPr>
          <w:rFonts w:cs="Arial"/>
          <w:lang w:val="es-CO"/>
        </w:rPr>
        <w:t>s</w:t>
      </w:r>
      <w:r w:rsidR="004E7F58" w:rsidRPr="004E7F58">
        <w:rPr>
          <w:rFonts w:cs="Arial"/>
          <w:lang w:val="es-CO"/>
        </w:rPr>
        <w:t xml:space="preserve"> reuni</w:t>
      </w:r>
      <w:r w:rsidR="004E7F58">
        <w:rPr>
          <w:rFonts w:cs="Arial"/>
          <w:lang w:val="es-CO"/>
        </w:rPr>
        <w:t>ones</w:t>
      </w:r>
      <w:r w:rsidR="004E7F58" w:rsidRPr="004E7F58">
        <w:rPr>
          <w:rFonts w:cs="Arial"/>
          <w:lang w:val="es-CO"/>
        </w:rPr>
        <w:t xml:space="preserve"> sostenida</w:t>
      </w:r>
      <w:r w:rsidR="004E7F58">
        <w:rPr>
          <w:rFonts w:cs="Arial"/>
          <w:lang w:val="es-CO"/>
        </w:rPr>
        <w:t>s</w:t>
      </w:r>
      <w:r w:rsidR="004E7F58" w:rsidRPr="004E7F58">
        <w:rPr>
          <w:rFonts w:cs="Arial"/>
          <w:lang w:val="es-CO"/>
        </w:rPr>
        <w:t>, se recibieron observaciones orientadas a hacer el proyecto más práctico, claro y mejor acotado para revisión institucional y eventual articulación interinstitucional.</w:t>
      </w:r>
    </w:p>
    <w:p w14:paraId="2B67A04C" w14:textId="77777777" w:rsidR="005519F7" w:rsidRPr="005519F7" w:rsidRDefault="005519F7" w:rsidP="005519F7">
      <w:pPr>
        <w:widowControl w:val="0"/>
        <w:jc w:val="both"/>
        <w:rPr>
          <w:rFonts w:cs="Arial"/>
          <w:lang w:val="es-CO"/>
        </w:rPr>
      </w:pPr>
    </w:p>
    <w:p w14:paraId="46C57E2B" w14:textId="3A0EBC7A" w:rsidR="007A1842" w:rsidRPr="005519F7" w:rsidRDefault="00000000" w:rsidP="005519F7">
      <w:pPr>
        <w:widowControl w:val="0"/>
        <w:jc w:val="both"/>
        <w:rPr>
          <w:rFonts w:cs="Arial"/>
          <w:lang w:val="es-CO"/>
        </w:rPr>
      </w:pPr>
      <w:r w:rsidRPr="005519F7">
        <w:rPr>
          <w:rFonts w:cs="Arial"/>
          <w:lang w:val="es-CO"/>
        </w:rPr>
        <w:t>La revisión interna permitió precisar la forma de explicar y delimitar el instrumento. En particular, se identificó la necesidad de</w:t>
      </w:r>
      <w:r w:rsidR="004C744D">
        <w:rPr>
          <w:rFonts w:cs="Arial"/>
          <w:lang w:val="es-CO"/>
        </w:rPr>
        <w:t xml:space="preserve"> </w:t>
      </w:r>
      <w:r w:rsidRPr="005519F7">
        <w:rPr>
          <w:rFonts w:cs="Arial"/>
          <w:lang w:val="es-CO"/>
        </w:rPr>
        <w:t>diferenciar inspección en campo y verificación documental</w:t>
      </w:r>
      <w:r w:rsidR="004C744D">
        <w:rPr>
          <w:rFonts w:cs="Arial"/>
          <w:lang w:val="es-CO"/>
        </w:rPr>
        <w:t xml:space="preserve">, </w:t>
      </w:r>
      <w:r w:rsidRPr="005519F7">
        <w:rPr>
          <w:rFonts w:cs="Arial"/>
          <w:lang w:val="es-CO"/>
        </w:rPr>
        <w:t>justificar la focalización inicial en contenedores vacíos</w:t>
      </w:r>
      <w:r w:rsidR="004C744D">
        <w:rPr>
          <w:rFonts w:cs="Arial"/>
          <w:lang w:val="es-CO"/>
        </w:rPr>
        <w:t xml:space="preserve">, </w:t>
      </w:r>
      <w:r w:rsidRPr="005519F7">
        <w:rPr>
          <w:rFonts w:cs="Arial"/>
          <w:lang w:val="es-CO"/>
        </w:rPr>
        <w:t>afinar los sujetos destinatarios de la obligación documental</w:t>
      </w:r>
      <w:r w:rsidR="004C744D">
        <w:rPr>
          <w:rFonts w:cs="Arial"/>
          <w:lang w:val="es-CO"/>
        </w:rPr>
        <w:t xml:space="preserve">, </w:t>
      </w:r>
      <w:r w:rsidRPr="005519F7">
        <w:rPr>
          <w:rFonts w:cs="Arial"/>
          <w:lang w:val="es-CO"/>
        </w:rPr>
        <w:t>cerrar ambigüedades frente a materia aduanera</w:t>
      </w:r>
      <w:r w:rsidR="004C744D">
        <w:rPr>
          <w:rFonts w:cs="Arial"/>
          <w:lang w:val="es-CO"/>
        </w:rPr>
        <w:t xml:space="preserve">, </w:t>
      </w:r>
      <w:r w:rsidRPr="005519F7">
        <w:rPr>
          <w:rFonts w:cs="Arial"/>
          <w:lang w:val="es-CO"/>
        </w:rPr>
        <w:t>incorporar una secuencia funcional de alcance</w:t>
      </w:r>
      <w:r w:rsidR="004C744D">
        <w:rPr>
          <w:rFonts w:cs="Arial"/>
          <w:lang w:val="es-CO"/>
        </w:rPr>
        <w:t xml:space="preserve"> </w:t>
      </w:r>
      <w:r w:rsidRPr="005519F7">
        <w:rPr>
          <w:rFonts w:cs="Arial"/>
          <w:lang w:val="es-CO"/>
        </w:rPr>
        <w:t>y</w:t>
      </w:r>
      <w:r w:rsidR="004C744D">
        <w:rPr>
          <w:rFonts w:cs="Arial"/>
          <w:lang w:val="es-CO"/>
        </w:rPr>
        <w:t xml:space="preserve"> </w:t>
      </w:r>
      <w:r w:rsidR="004C744D" w:rsidRPr="004C744D">
        <w:rPr>
          <w:rFonts w:cs="Arial"/>
          <w:lang w:val="es-CO"/>
        </w:rPr>
        <w:t>proyectar las comunicaciones a ICA e INVIMA como solicitudes institucionales de comentarios de frontera competencial, para eventual suscripción por el Superintendente de Transporte, sin que ello implique aprobación, coautoría, validación técnica o condicionamiento de la competencia de la Superintendencia.</w:t>
      </w:r>
    </w:p>
    <w:p w14:paraId="0155C7F1" w14:textId="77777777" w:rsidR="005519F7" w:rsidRPr="005519F7" w:rsidRDefault="005519F7" w:rsidP="005519F7">
      <w:pPr>
        <w:widowControl w:val="0"/>
        <w:jc w:val="both"/>
        <w:rPr>
          <w:rFonts w:cs="Arial"/>
          <w:lang w:val="es-CO"/>
        </w:rPr>
      </w:pPr>
    </w:p>
    <w:p w14:paraId="21860600"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3. Problema identificado y reformulación de enfoque</w:t>
      </w:r>
    </w:p>
    <w:p w14:paraId="127EBC74" w14:textId="77777777" w:rsidR="005519F7" w:rsidRPr="005519F7" w:rsidRDefault="005519F7" w:rsidP="005519F7">
      <w:pPr>
        <w:widowControl w:val="0"/>
        <w:jc w:val="both"/>
        <w:rPr>
          <w:rFonts w:cs="Arial"/>
          <w:lang w:val="es-CO"/>
        </w:rPr>
      </w:pPr>
    </w:p>
    <w:p w14:paraId="2DA0E154" w14:textId="15E920F7" w:rsidR="007A1842" w:rsidRPr="005519F7" w:rsidRDefault="004C744D" w:rsidP="005519F7">
      <w:pPr>
        <w:widowControl w:val="0"/>
        <w:jc w:val="both"/>
        <w:rPr>
          <w:rFonts w:cs="Arial"/>
          <w:lang w:val="es-CO"/>
        </w:rPr>
      </w:pPr>
      <w:r w:rsidRPr="004C744D">
        <w:rPr>
          <w:rFonts w:cs="Arial"/>
          <w:lang w:val="es-CO"/>
        </w:rPr>
        <w:t>El problema identificado no se formula como una insuficiencia de la Superintendencia para ejercer sus funciones ordinarias de inspección, vigilancia y control, ni como una necesidad de validación sanitaria, fitosanitaria, ambiental, microbiológica, de inocuidad o técnica del tratamiento. El problema consiste en la conveniencia de fortalecer condiciones mínimas homogéneas de documentación, trazabilidad, conservación, disponibilidad de evidencia y verificabilidad administrativa respecto de procesos específicos aplicados a contenedores vacíos.</w:t>
      </w:r>
    </w:p>
    <w:p w14:paraId="48FBDF5C" w14:textId="77777777" w:rsidR="005519F7" w:rsidRPr="005519F7" w:rsidRDefault="005519F7" w:rsidP="005519F7">
      <w:pPr>
        <w:widowControl w:val="0"/>
        <w:jc w:val="both"/>
        <w:rPr>
          <w:rFonts w:cs="Arial"/>
          <w:lang w:val="es-CO"/>
        </w:rPr>
      </w:pPr>
    </w:p>
    <w:p w14:paraId="0FF11741" w14:textId="3B0A5D0C" w:rsidR="007A1842" w:rsidRPr="005519F7" w:rsidRDefault="004E7F58" w:rsidP="005519F7">
      <w:pPr>
        <w:widowControl w:val="0"/>
        <w:jc w:val="both"/>
        <w:rPr>
          <w:rFonts w:cs="Arial"/>
          <w:lang w:val="es-CO"/>
        </w:rPr>
      </w:pPr>
      <w:r w:rsidRPr="004E7F58">
        <w:rPr>
          <w:rFonts w:cs="Arial"/>
          <w:lang w:val="es-CO"/>
        </w:rPr>
        <w:t>La ausencia, dispersión o heterogeneidad de la evidencia documental puede dificultar</w:t>
      </w:r>
      <w:r w:rsidR="00000000" w:rsidRPr="005519F7">
        <w:rPr>
          <w:rFonts w:cs="Arial"/>
          <w:lang w:val="es-CO"/>
        </w:rPr>
        <w:t xml:space="preserve"> la identificación del contenedor objeto del proceso, la relación entre el proceso y los registros disponibles, la determinación del responsable según su rol, la trazabilidad de contingencias, la conservación de soportes y la existencia de un cierre documental verificable.</w:t>
      </w:r>
    </w:p>
    <w:p w14:paraId="0B2A20B4" w14:textId="77777777" w:rsidR="005519F7" w:rsidRPr="005519F7" w:rsidRDefault="005519F7" w:rsidP="005519F7">
      <w:pPr>
        <w:widowControl w:val="0"/>
        <w:jc w:val="both"/>
        <w:rPr>
          <w:rFonts w:cs="Arial"/>
          <w:lang w:val="es-CO"/>
        </w:rPr>
      </w:pPr>
    </w:p>
    <w:p w14:paraId="2F15D3E2" w14:textId="55D31149" w:rsidR="007A1842" w:rsidRPr="005519F7" w:rsidRDefault="00000000" w:rsidP="005519F7">
      <w:pPr>
        <w:widowControl w:val="0"/>
        <w:jc w:val="both"/>
        <w:rPr>
          <w:rFonts w:cs="Arial"/>
          <w:lang w:val="es-CO"/>
        </w:rPr>
      </w:pPr>
      <w:r w:rsidRPr="005519F7">
        <w:rPr>
          <w:rFonts w:cs="Arial"/>
          <w:lang w:val="es-CO"/>
        </w:rPr>
        <w:t xml:space="preserve">En consecuencia, el proyecto se presenta como herramienta de fortalecimiento de la trazabilidad </w:t>
      </w:r>
      <w:r w:rsidRPr="005519F7">
        <w:rPr>
          <w:rFonts w:cs="Arial"/>
          <w:lang w:val="es-CO"/>
        </w:rPr>
        <w:lastRenderedPageBreak/>
        <w:t xml:space="preserve">documental y </w:t>
      </w:r>
      <w:r w:rsidR="004C744D" w:rsidRPr="004C744D">
        <w:rPr>
          <w:rFonts w:cs="Arial"/>
          <w:lang w:val="es-CO"/>
        </w:rPr>
        <w:t>no como sustitución de los mecanismos ordinarios de inspección, vigilancia y control</w:t>
      </w:r>
      <w:r w:rsidR="004C744D">
        <w:rPr>
          <w:rFonts w:cs="Arial"/>
          <w:lang w:val="es-CO"/>
        </w:rPr>
        <w:t>,</w:t>
      </w:r>
      <w:r w:rsidRPr="005519F7">
        <w:rPr>
          <w:rFonts w:cs="Arial"/>
          <w:lang w:val="es-CO"/>
        </w:rPr>
        <w:t xml:space="preserve"> ni como intervención técnica sobre la eficacia del tratamiento.</w:t>
      </w:r>
    </w:p>
    <w:p w14:paraId="1B487881" w14:textId="77777777" w:rsidR="005519F7" w:rsidRPr="005519F7" w:rsidRDefault="005519F7" w:rsidP="005519F7">
      <w:pPr>
        <w:widowControl w:val="0"/>
        <w:jc w:val="both"/>
        <w:rPr>
          <w:rFonts w:cs="Arial"/>
          <w:lang w:val="es-CO"/>
        </w:rPr>
      </w:pPr>
    </w:p>
    <w:p w14:paraId="736E5293"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4. Justificación de focalización inicial en contenedores vacíos</w:t>
      </w:r>
    </w:p>
    <w:p w14:paraId="2DA7018B" w14:textId="77777777" w:rsidR="005519F7" w:rsidRPr="005519F7" w:rsidRDefault="005519F7" w:rsidP="005519F7">
      <w:pPr>
        <w:widowControl w:val="0"/>
        <w:jc w:val="both"/>
        <w:rPr>
          <w:rFonts w:cs="Arial"/>
          <w:lang w:val="es-CO"/>
        </w:rPr>
      </w:pPr>
    </w:p>
    <w:p w14:paraId="6A62CA8F" w14:textId="4643AF40" w:rsidR="007A1842" w:rsidRPr="005519F7" w:rsidRDefault="00000000" w:rsidP="005519F7">
      <w:pPr>
        <w:widowControl w:val="0"/>
        <w:jc w:val="both"/>
        <w:rPr>
          <w:rFonts w:cs="Arial"/>
          <w:lang w:val="es-CO"/>
        </w:rPr>
      </w:pPr>
      <w:r w:rsidRPr="005519F7">
        <w:rPr>
          <w:rFonts w:cs="Arial"/>
          <w:lang w:val="es-CO"/>
        </w:rPr>
        <w:t>La focalización inicial en procesos aplicados a contenedores vacíos responde a una decisión de prudencia regulatoria, proporcionalidad y gradualidad. No implica desconocer la diversidad de cargas, mercancías, segmentos portuarios, etapas logísticas u operaciones industriales que pueden desarrollarse en instalaciones portuarias.</w:t>
      </w:r>
    </w:p>
    <w:p w14:paraId="56CAADA6" w14:textId="77777777" w:rsidR="005519F7" w:rsidRPr="005519F7" w:rsidRDefault="005519F7" w:rsidP="005519F7">
      <w:pPr>
        <w:widowControl w:val="0"/>
        <w:jc w:val="both"/>
        <w:rPr>
          <w:rFonts w:cs="Arial"/>
          <w:lang w:val="es-CO"/>
        </w:rPr>
      </w:pPr>
    </w:p>
    <w:p w14:paraId="6B01C536" w14:textId="7AF2FC6C" w:rsidR="007A1842" w:rsidRPr="005519F7" w:rsidRDefault="00000000" w:rsidP="005519F7">
      <w:pPr>
        <w:widowControl w:val="0"/>
        <w:jc w:val="both"/>
        <w:rPr>
          <w:rFonts w:cs="Arial"/>
          <w:lang w:val="es-CO"/>
        </w:rPr>
      </w:pPr>
      <w:r w:rsidRPr="005519F7">
        <w:rPr>
          <w:rFonts w:cs="Arial"/>
          <w:lang w:val="es-CO"/>
        </w:rPr>
        <w:t>La primera fase se concentra en una práctica específica respecto de la cual se busca fortalecer trazabilidad documental, levantar línea base, verificar cargas administrativas reales y evitar una expansión prematura hacia materias que podrían requerir análisis jurídico, técnico, operativo y competencial independiente.</w:t>
      </w:r>
    </w:p>
    <w:p w14:paraId="6D5A2BCC" w14:textId="77777777" w:rsidR="005519F7" w:rsidRPr="005519F7" w:rsidRDefault="005519F7" w:rsidP="005519F7">
      <w:pPr>
        <w:widowControl w:val="0"/>
        <w:jc w:val="both"/>
        <w:rPr>
          <w:rFonts w:cs="Arial"/>
          <w:lang w:val="es-CO"/>
        </w:rPr>
      </w:pPr>
    </w:p>
    <w:p w14:paraId="3DF78CB9" w14:textId="0A802381" w:rsidR="007A1842" w:rsidRPr="00D92CD2" w:rsidRDefault="00D92CD2" w:rsidP="005519F7">
      <w:pPr>
        <w:widowControl w:val="0"/>
        <w:jc w:val="both"/>
        <w:rPr>
          <w:rFonts w:cs="Arial"/>
          <w:lang w:val="es-CO"/>
        </w:rPr>
      </w:pPr>
      <w:r w:rsidRPr="00D92CD2">
        <w:rPr>
          <w:rFonts w:cs="Arial"/>
          <w:lang w:val="es-CO"/>
        </w:rPr>
        <w:t>Extender desde esta primera fase el instrumento a todos los segmentos de carga o a todas las etapas logísticas podría resultar menos proporcionado y exigir análisis jurídicos, técnicos, operativos y competenciales adicionales. Por ello, cualquier ampliación futura del alcance deberá sustentarse en una evaluación independiente, con revisión competencial expresa y análisis de impacto cuando resulte aplicable.</w:t>
      </w:r>
    </w:p>
    <w:p w14:paraId="72F2E984" w14:textId="77777777" w:rsidR="005519F7" w:rsidRPr="005519F7" w:rsidRDefault="005519F7" w:rsidP="005519F7">
      <w:pPr>
        <w:widowControl w:val="0"/>
        <w:jc w:val="both"/>
        <w:rPr>
          <w:rFonts w:cs="Arial"/>
          <w:lang w:val="es-CO"/>
        </w:rPr>
      </w:pPr>
    </w:p>
    <w:p w14:paraId="5CDE6275"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5. No regulación integral de cargas, mercancías ni materia aduanera</w:t>
      </w:r>
    </w:p>
    <w:p w14:paraId="3EDCE68F" w14:textId="77777777" w:rsidR="005519F7" w:rsidRPr="005519F7" w:rsidRDefault="005519F7" w:rsidP="005519F7">
      <w:pPr>
        <w:widowControl w:val="0"/>
        <w:jc w:val="both"/>
        <w:rPr>
          <w:rFonts w:cs="Arial"/>
          <w:lang w:val="es-CO"/>
        </w:rPr>
      </w:pPr>
    </w:p>
    <w:p w14:paraId="5A7406C2" w14:textId="6BF55C25" w:rsidR="007A1842" w:rsidRPr="005519F7" w:rsidRDefault="00000000" w:rsidP="005519F7">
      <w:pPr>
        <w:widowControl w:val="0"/>
        <w:jc w:val="both"/>
        <w:rPr>
          <w:rFonts w:cs="Arial"/>
          <w:lang w:val="es-CO"/>
        </w:rPr>
      </w:pPr>
      <w:r w:rsidRPr="005519F7">
        <w:rPr>
          <w:rFonts w:cs="Arial"/>
          <w:lang w:val="es-CO"/>
        </w:rPr>
        <w:t>La resolución no regula cargas, mercancías, segmentos de carga, etapas logísticas integrales ni operaciones aduaneras. Tampoco establece parámetros técnicos para importación, exportación, transbordo, cabotaje, almacenamiento, carga general, carga contenerizada, carga a granel, carga peligrosa u otras categorías operativas.</w:t>
      </w:r>
    </w:p>
    <w:p w14:paraId="1A8F5F3A" w14:textId="77777777" w:rsidR="005519F7" w:rsidRPr="005519F7" w:rsidRDefault="005519F7" w:rsidP="005519F7">
      <w:pPr>
        <w:widowControl w:val="0"/>
        <w:jc w:val="both"/>
        <w:rPr>
          <w:rFonts w:cs="Arial"/>
          <w:lang w:val="es-CO"/>
        </w:rPr>
      </w:pPr>
    </w:p>
    <w:p w14:paraId="30341BAA" w14:textId="3B85E42D" w:rsidR="007A1842" w:rsidRPr="005519F7" w:rsidRDefault="00000000" w:rsidP="005519F7">
      <w:pPr>
        <w:widowControl w:val="0"/>
        <w:jc w:val="both"/>
        <w:rPr>
          <w:rFonts w:cs="Arial"/>
          <w:lang w:val="es-CO"/>
        </w:rPr>
      </w:pPr>
      <w:r w:rsidRPr="005519F7">
        <w:rPr>
          <w:rFonts w:cs="Arial"/>
          <w:lang w:val="es-CO"/>
        </w:rPr>
        <w:t>Su alcance es estrictamente documental y se activa únicamente cuando exista un proceso aplicado a contenedores vacíos ejecutado o documentado en instalaciones portuarias o zonas logísticas funcionalmente asociadas, respecto de sujetos sometidos a inspección, vigilancia y control de la Superintendencia de Transporte.</w:t>
      </w:r>
    </w:p>
    <w:p w14:paraId="358A5F7A" w14:textId="77777777" w:rsidR="005519F7" w:rsidRPr="005519F7" w:rsidRDefault="005519F7" w:rsidP="005519F7">
      <w:pPr>
        <w:widowControl w:val="0"/>
        <w:jc w:val="both"/>
        <w:rPr>
          <w:rFonts w:cs="Arial"/>
          <w:lang w:val="es-CO"/>
        </w:rPr>
      </w:pPr>
    </w:p>
    <w:p w14:paraId="5A1624C5" w14:textId="0944F57D" w:rsidR="007A1842" w:rsidRPr="005519F7" w:rsidRDefault="00000000" w:rsidP="005519F7">
      <w:pPr>
        <w:widowControl w:val="0"/>
        <w:jc w:val="both"/>
        <w:rPr>
          <w:rFonts w:cs="Arial"/>
          <w:lang w:val="es-CO"/>
        </w:rPr>
      </w:pPr>
      <w:r w:rsidRPr="005519F7">
        <w:rPr>
          <w:rFonts w:cs="Arial"/>
          <w:lang w:val="es-CO"/>
        </w:rPr>
        <w:t>El cierre documental previsto en el proyecto no equivale a levante, autorización, nacionalización, liberación aduanera, disposición de mercancía, autorización comercial, liberación operativa ni decisión propia de la autoridad aduanera.</w:t>
      </w:r>
    </w:p>
    <w:p w14:paraId="2741670D" w14:textId="77777777" w:rsidR="005519F7" w:rsidRPr="005519F7" w:rsidRDefault="005519F7" w:rsidP="005519F7">
      <w:pPr>
        <w:widowControl w:val="0"/>
        <w:jc w:val="both"/>
        <w:rPr>
          <w:rFonts w:cs="Arial"/>
          <w:lang w:val="es-CO"/>
        </w:rPr>
      </w:pPr>
    </w:p>
    <w:p w14:paraId="1E8D7581"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6. Sujetos destinatarios y cargas administrativas</w:t>
      </w:r>
    </w:p>
    <w:p w14:paraId="13A5BE37" w14:textId="77777777" w:rsidR="005519F7" w:rsidRPr="005519F7" w:rsidRDefault="005519F7" w:rsidP="005519F7">
      <w:pPr>
        <w:widowControl w:val="0"/>
        <w:jc w:val="both"/>
        <w:rPr>
          <w:rFonts w:cs="Arial"/>
          <w:lang w:val="es-CO"/>
        </w:rPr>
      </w:pPr>
    </w:p>
    <w:p w14:paraId="33E1AAD5" w14:textId="131B26A2" w:rsidR="007A1842" w:rsidRPr="005519F7" w:rsidRDefault="00000000" w:rsidP="005519F7">
      <w:pPr>
        <w:widowControl w:val="0"/>
        <w:jc w:val="both"/>
        <w:rPr>
          <w:rFonts w:cs="Arial"/>
          <w:lang w:val="es-CO"/>
        </w:rPr>
      </w:pPr>
      <w:r w:rsidRPr="005519F7">
        <w:rPr>
          <w:rFonts w:cs="Arial"/>
          <w:lang w:val="es-CO"/>
        </w:rPr>
        <w:t>El proyecto se dirige a sujetos sometidos a inspección, vigilancia y control de la Superintendencia de Transporte que, en el marco de una operación portuaria o logística funcionalmente asociada, ordenen, ejecuten, contraten, coordinen, administren, documenten, custodien o presenten evidencia relacionada con procesos de higienización aplicados a contenedores vacíos.</w:t>
      </w:r>
    </w:p>
    <w:p w14:paraId="1B6F0397" w14:textId="77777777" w:rsidR="005519F7" w:rsidRPr="005519F7" w:rsidRDefault="005519F7" w:rsidP="005519F7">
      <w:pPr>
        <w:widowControl w:val="0"/>
        <w:jc w:val="both"/>
        <w:rPr>
          <w:rFonts w:cs="Arial"/>
          <w:lang w:val="es-CO"/>
        </w:rPr>
      </w:pPr>
    </w:p>
    <w:p w14:paraId="73638677" w14:textId="77777777" w:rsidR="007A1842" w:rsidRPr="005519F7" w:rsidRDefault="00000000" w:rsidP="005519F7">
      <w:pPr>
        <w:widowControl w:val="0"/>
        <w:jc w:val="both"/>
        <w:rPr>
          <w:rFonts w:cs="Arial"/>
          <w:lang w:val="es-CO"/>
        </w:rPr>
      </w:pPr>
      <w:r w:rsidRPr="005519F7">
        <w:rPr>
          <w:rFonts w:cs="Arial"/>
          <w:lang w:val="es-CO"/>
        </w:rPr>
        <w:t>La obligación documental no recae de manera abstracta sobre cualquier actor de la cadena logística. Recae sobre sujetos bajo competencia de la Superintendencia, según el rol que desempeñen y respecto de la información que se encuentre bajo su control, custodia, administración o disponibilidad razonable.</w:t>
      </w:r>
    </w:p>
    <w:p w14:paraId="73F51475" w14:textId="77777777" w:rsidR="005519F7" w:rsidRPr="005519F7" w:rsidRDefault="005519F7" w:rsidP="005519F7">
      <w:pPr>
        <w:widowControl w:val="0"/>
        <w:jc w:val="both"/>
        <w:rPr>
          <w:rFonts w:cs="Arial"/>
          <w:lang w:val="es-CO"/>
        </w:rPr>
      </w:pPr>
    </w:p>
    <w:p w14:paraId="4C2A824F" w14:textId="0CE979DF" w:rsidR="007A1842" w:rsidRPr="005519F7" w:rsidRDefault="00000000" w:rsidP="005519F7">
      <w:pPr>
        <w:widowControl w:val="0"/>
        <w:jc w:val="both"/>
        <w:rPr>
          <w:rFonts w:cs="Arial"/>
          <w:lang w:val="es-CO"/>
        </w:rPr>
      </w:pPr>
      <w:r w:rsidRPr="005519F7">
        <w:rPr>
          <w:rFonts w:cs="Arial"/>
          <w:lang w:val="es-CO"/>
        </w:rPr>
        <w:t>La sola custodia o presentación de evidencia no convierte al sujeto en responsable material de la eficacia técnica, sanitaria, fitosanitaria, ambiental o de inocuidad del tratamiento aplicado.</w:t>
      </w:r>
    </w:p>
    <w:p w14:paraId="657A83AC" w14:textId="77777777" w:rsidR="005519F7" w:rsidRPr="005519F7" w:rsidRDefault="005519F7" w:rsidP="005519F7">
      <w:pPr>
        <w:widowControl w:val="0"/>
        <w:jc w:val="both"/>
        <w:rPr>
          <w:rFonts w:cs="Arial"/>
          <w:lang w:val="es-CO"/>
        </w:rPr>
      </w:pPr>
    </w:p>
    <w:p w14:paraId="15D5ECF0" w14:textId="46B9E938" w:rsidR="007A1842" w:rsidRPr="00D92CD2"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 xml:space="preserve">7. </w:t>
      </w:r>
      <w:r w:rsidR="00D92CD2" w:rsidRPr="00D92CD2">
        <w:rPr>
          <w:rFonts w:ascii="Arial" w:eastAsia="Arial" w:hAnsi="Arial" w:cs="Arial"/>
          <w:color w:val="auto"/>
          <w:sz w:val="22"/>
          <w:szCs w:val="22"/>
          <w:lang w:val="es-CO"/>
        </w:rPr>
        <w:t>Modalidades de verificación y responsabilidad institucional</w:t>
      </w:r>
    </w:p>
    <w:p w14:paraId="10D1DC70" w14:textId="77777777" w:rsidR="005519F7" w:rsidRPr="005519F7" w:rsidRDefault="005519F7" w:rsidP="005519F7">
      <w:pPr>
        <w:widowControl w:val="0"/>
        <w:jc w:val="both"/>
        <w:rPr>
          <w:rFonts w:cs="Arial"/>
          <w:lang w:val="es-CO"/>
        </w:rPr>
      </w:pPr>
    </w:p>
    <w:p w14:paraId="4AEF7DAA" w14:textId="281A378D" w:rsidR="007A1842" w:rsidRPr="005519F7" w:rsidRDefault="00000000" w:rsidP="005519F7">
      <w:pPr>
        <w:widowControl w:val="0"/>
        <w:jc w:val="both"/>
        <w:rPr>
          <w:rFonts w:cs="Arial"/>
          <w:lang w:val="es-CO"/>
        </w:rPr>
      </w:pPr>
      <w:r w:rsidRPr="005519F7">
        <w:rPr>
          <w:rFonts w:cs="Arial"/>
          <w:lang w:val="es-CO"/>
        </w:rPr>
        <w:t>La implementación del proyecto debe distinguir entre visita o actuación en campo, verificación documental, revisión remota, levantamiento de línea base, verificación preventiva y seguimiento. No toda actuación exige presencia física ni desplazamiento permanente de funcionarios a instalaciones portuarias.</w:t>
      </w:r>
    </w:p>
    <w:p w14:paraId="213718D5" w14:textId="77777777" w:rsidR="005519F7" w:rsidRPr="005519F7" w:rsidRDefault="005519F7" w:rsidP="005519F7">
      <w:pPr>
        <w:widowControl w:val="0"/>
        <w:jc w:val="both"/>
        <w:rPr>
          <w:rFonts w:cs="Arial"/>
          <w:lang w:val="es-CO"/>
        </w:rPr>
      </w:pPr>
    </w:p>
    <w:p w14:paraId="60B4D1BA" w14:textId="5E0281B6" w:rsidR="007A1842" w:rsidRPr="005519F7" w:rsidRDefault="00000000" w:rsidP="005519F7">
      <w:pPr>
        <w:widowControl w:val="0"/>
        <w:jc w:val="both"/>
        <w:rPr>
          <w:rFonts w:cs="Arial"/>
          <w:lang w:val="es-CO"/>
        </w:rPr>
      </w:pPr>
      <w:r w:rsidRPr="005519F7">
        <w:rPr>
          <w:rFonts w:cs="Arial"/>
          <w:lang w:val="es-CO"/>
        </w:rPr>
        <w:t>Cuando la actuación implique inspección o visita en campo, deberá ser dirigida, practicada o asumida institucionalmente por funcionarios competentes de la Superintendencia de Transporte o por la comisión que la entidad designe. En cambio, la revisión documental o remota podrá desarrollarse mediante requerimientos de información, revisión de soportes y uso de herramientas operativas de apoyo.</w:t>
      </w:r>
    </w:p>
    <w:p w14:paraId="44DEE990" w14:textId="77777777" w:rsidR="005519F7" w:rsidRPr="005519F7" w:rsidRDefault="005519F7" w:rsidP="005519F7">
      <w:pPr>
        <w:widowControl w:val="0"/>
        <w:jc w:val="both"/>
        <w:rPr>
          <w:rFonts w:cs="Arial"/>
          <w:lang w:val="es-CO"/>
        </w:rPr>
      </w:pPr>
    </w:p>
    <w:p w14:paraId="13DEA6C9" w14:textId="59C06491" w:rsidR="007A1842" w:rsidRPr="005519F7" w:rsidRDefault="00000000" w:rsidP="005519F7">
      <w:pPr>
        <w:widowControl w:val="0"/>
        <w:jc w:val="both"/>
        <w:rPr>
          <w:rFonts w:cs="Arial"/>
          <w:lang w:val="es-CO"/>
        </w:rPr>
      </w:pPr>
      <w:r w:rsidRPr="005519F7">
        <w:rPr>
          <w:rFonts w:cs="Arial"/>
          <w:lang w:val="es-CO"/>
        </w:rPr>
        <w:t>En todos los casos, la valoración administrativa, la formulación de hallazgos y cualquier decisión posterior corresponderán exclusivamente a la Superintendencia. El apoyo técnico-operativo externo, si existe, será material, instrumental y subordinado.</w:t>
      </w:r>
    </w:p>
    <w:p w14:paraId="10D85AFD" w14:textId="77777777" w:rsidR="005519F7" w:rsidRPr="005519F7" w:rsidRDefault="005519F7" w:rsidP="005519F7">
      <w:pPr>
        <w:widowControl w:val="0"/>
        <w:jc w:val="both"/>
        <w:rPr>
          <w:rFonts w:cs="Arial"/>
          <w:lang w:val="es-CO"/>
        </w:rPr>
      </w:pPr>
    </w:p>
    <w:p w14:paraId="5FB13B2B"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8. Viabilidad jurídica y delimitación competencial</w:t>
      </w:r>
    </w:p>
    <w:p w14:paraId="192905A2" w14:textId="77777777" w:rsidR="005519F7" w:rsidRPr="005519F7" w:rsidRDefault="005519F7" w:rsidP="005519F7">
      <w:pPr>
        <w:widowControl w:val="0"/>
        <w:jc w:val="both"/>
        <w:rPr>
          <w:rFonts w:cs="Arial"/>
          <w:lang w:val="es-CO"/>
        </w:rPr>
      </w:pPr>
    </w:p>
    <w:p w14:paraId="2D37CBC5" w14:textId="57274904" w:rsidR="007A1842" w:rsidRPr="005519F7" w:rsidRDefault="00000000" w:rsidP="005519F7">
      <w:pPr>
        <w:widowControl w:val="0"/>
        <w:jc w:val="both"/>
        <w:rPr>
          <w:rFonts w:cs="Arial"/>
          <w:lang w:val="es-CO"/>
        </w:rPr>
      </w:pPr>
      <w:r w:rsidRPr="005519F7">
        <w:rPr>
          <w:rFonts w:cs="Arial"/>
          <w:lang w:val="es-CO"/>
        </w:rPr>
        <w:t>La viabilidad jurídica del proyecto se soporta en las competencias de inspección, vigilancia y control de la Superintendencia de Transporte respecto del sector transporte, infraestructura, puertos, concesiones, servicios conexos y actividades sometidas a supervisión.</w:t>
      </w:r>
    </w:p>
    <w:p w14:paraId="3A397F4D" w14:textId="77777777" w:rsidR="005519F7" w:rsidRPr="005519F7" w:rsidRDefault="005519F7" w:rsidP="005519F7">
      <w:pPr>
        <w:widowControl w:val="0"/>
        <w:jc w:val="both"/>
        <w:rPr>
          <w:rFonts w:cs="Arial"/>
          <w:lang w:val="es-CO"/>
        </w:rPr>
      </w:pPr>
    </w:p>
    <w:p w14:paraId="509114AA" w14:textId="77777777" w:rsidR="007A1842" w:rsidRPr="005519F7" w:rsidRDefault="00000000" w:rsidP="005519F7">
      <w:pPr>
        <w:widowControl w:val="0"/>
        <w:jc w:val="both"/>
        <w:rPr>
          <w:rFonts w:cs="Arial"/>
          <w:lang w:val="es-CO"/>
        </w:rPr>
      </w:pPr>
      <w:r w:rsidRPr="005519F7">
        <w:rPr>
          <w:rFonts w:cs="Arial"/>
          <w:lang w:val="es-CO"/>
        </w:rPr>
        <w:t>La competencia se ejerce sobre la verificabilidad administrativa de evidencia asociada a una actividad que ocurre o se documenta en el entorno portuario, no sobre la eficacia sanitaria, fitosanitaria, ambiental, microbiológica, de inocuidad o técnica del tratamiento aplicado.</w:t>
      </w:r>
    </w:p>
    <w:p w14:paraId="7962F09B" w14:textId="77777777" w:rsidR="005519F7" w:rsidRPr="005519F7" w:rsidRDefault="005519F7" w:rsidP="005519F7">
      <w:pPr>
        <w:widowControl w:val="0"/>
        <w:jc w:val="both"/>
        <w:rPr>
          <w:rFonts w:cs="Arial"/>
          <w:lang w:val="es-CO"/>
        </w:rPr>
      </w:pPr>
    </w:p>
    <w:p w14:paraId="68D29E43" w14:textId="4AD57128" w:rsidR="007A1842" w:rsidRPr="005519F7" w:rsidRDefault="00000000" w:rsidP="005519F7">
      <w:pPr>
        <w:widowControl w:val="0"/>
        <w:jc w:val="both"/>
        <w:rPr>
          <w:rFonts w:cs="Arial"/>
          <w:lang w:val="es-CO"/>
        </w:rPr>
      </w:pPr>
      <w:r w:rsidRPr="005519F7">
        <w:rPr>
          <w:rFonts w:cs="Arial"/>
          <w:lang w:val="es-CO"/>
        </w:rPr>
        <w:t>El proyecto no sustituye, desplaza, limita ni condiciona las competencias del ICA, INVIMA, DIAN, autoridades ambientales, sanitarias, fitosanitarias, de inocuidad o de cualquier otra autoridad sectorial especializada.</w:t>
      </w:r>
    </w:p>
    <w:p w14:paraId="41F4D310" w14:textId="77777777" w:rsidR="005519F7" w:rsidRPr="005519F7" w:rsidRDefault="005519F7" w:rsidP="005519F7">
      <w:pPr>
        <w:widowControl w:val="0"/>
        <w:jc w:val="both"/>
        <w:rPr>
          <w:rFonts w:cs="Arial"/>
          <w:lang w:val="es-CO"/>
        </w:rPr>
      </w:pPr>
    </w:p>
    <w:p w14:paraId="730E6EBE"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9. No creación de trámite y no configuración de reglamento técnico</w:t>
      </w:r>
    </w:p>
    <w:p w14:paraId="29F8FB9C" w14:textId="77777777" w:rsidR="005519F7" w:rsidRPr="005519F7" w:rsidRDefault="005519F7" w:rsidP="005519F7">
      <w:pPr>
        <w:widowControl w:val="0"/>
        <w:jc w:val="both"/>
        <w:rPr>
          <w:rFonts w:cs="Arial"/>
          <w:lang w:val="es-CO"/>
        </w:rPr>
      </w:pPr>
    </w:p>
    <w:p w14:paraId="0BBB5946" w14:textId="6851ECDE" w:rsidR="007A1842" w:rsidRPr="005519F7" w:rsidRDefault="00000000" w:rsidP="005519F7">
      <w:pPr>
        <w:widowControl w:val="0"/>
        <w:jc w:val="both"/>
        <w:rPr>
          <w:rFonts w:cs="Arial"/>
          <w:lang w:val="es-CO"/>
        </w:rPr>
      </w:pPr>
      <w:r w:rsidRPr="005519F7">
        <w:rPr>
          <w:rFonts w:cs="Arial"/>
          <w:lang w:val="es-CO"/>
        </w:rPr>
        <w:t>El proyecto no crea trámite administrativo nuevo, autorización, permiso, licencia, registro habilitante, inscripción obligatoria, certificación, aprobación previa, homologación o constancia obligatoria ante la Superintendencia. La evidencia se conserva y se presenta cuando sea requerida en el marco de actuaciones de inspección, vigilancia y control.</w:t>
      </w:r>
    </w:p>
    <w:p w14:paraId="5D5C35B1" w14:textId="77777777" w:rsidR="005519F7" w:rsidRPr="005519F7" w:rsidRDefault="005519F7" w:rsidP="005519F7">
      <w:pPr>
        <w:widowControl w:val="0"/>
        <w:jc w:val="both"/>
        <w:rPr>
          <w:rFonts w:cs="Arial"/>
          <w:lang w:val="es-CO"/>
        </w:rPr>
      </w:pPr>
    </w:p>
    <w:p w14:paraId="2D5C9BC9" w14:textId="4FD945EB" w:rsidR="007A1842" w:rsidRPr="005519F7" w:rsidRDefault="00000000" w:rsidP="005519F7">
      <w:pPr>
        <w:widowControl w:val="0"/>
        <w:jc w:val="both"/>
        <w:rPr>
          <w:rFonts w:cs="Arial"/>
          <w:lang w:val="es-CO"/>
        </w:rPr>
      </w:pPr>
      <w:r w:rsidRPr="005519F7">
        <w:rPr>
          <w:rFonts w:cs="Arial"/>
          <w:lang w:val="es-CO"/>
        </w:rPr>
        <w:t>Tampoco configura reglamento técnico, porque no establece características técnicas obligatorias de productos, procesos o métodos de producción; no impone tecnologías, sustancias, equipos o proveedores; no define parámetros de eficacia, desempeño o resultado técnico; y no exige ensayos, certificaciones o evaluación de conformidad.</w:t>
      </w:r>
    </w:p>
    <w:p w14:paraId="3C3AD2D8" w14:textId="77777777" w:rsidR="005519F7" w:rsidRPr="005519F7" w:rsidRDefault="005519F7" w:rsidP="005519F7">
      <w:pPr>
        <w:widowControl w:val="0"/>
        <w:jc w:val="both"/>
        <w:rPr>
          <w:rFonts w:cs="Arial"/>
          <w:lang w:val="es-CO"/>
        </w:rPr>
      </w:pPr>
    </w:p>
    <w:p w14:paraId="54D14130" w14:textId="64ED6ED7" w:rsidR="007A1842" w:rsidRPr="004C744D" w:rsidRDefault="00000000" w:rsidP="005519F7">
      <w:pPr>
        <w:pStyle w:val="Ttulo1"/>
        <w:keepNext w:val="0"/>
        <w:keepLines w:val="0"/>
        <w:widowControl w:val="0"/>
        <w:rPr>
          <w:rFonts w:ascii="Arial" w:hAnsi="Arial" w:cs="Arial"/>
          <w:bCs w:val="0"/>
          <w:color w:val="auto"/>
          <w:sz w:val="22"/>
          <w:szCs w:val="22"/>
          <w:lang w:val="es-CO"/>
        </w:rPr>
      </w:pPr>
      <w:r w:rsidRPr="004C744D">
        <w:rPr>
          <w:rFonts w:ascii="Arial" w:eastAsia="Arial" w:hAnsi="Arial" w:cs="Arial"/>
          <w:bCs w:val="0"/>
          <w:color w:val="auto"/>
          <w:sz w:val="22"/>
          <w:szCs w:val="22"/>
          <w:lang w:val="es-CO"/>
        </w:rPr>
        <w:t xml:space="preserve">10. </w:t>
      </w:r>
      <w:r w:rsidR="004C744D" w:rsidRPr="004C744D">
        <w:rPr>
          <w:rFonts w:ascii="Arial" w:eastAsia="Arial" w:hAnsi="Arial" w:cs="Arial"/>
          <w:bCs w:val="0"/>
          <w:color w:val="auto"/>
          <w:sz w:val="22"/>
          <w:szCs w:val="22"/>
          <w:lang w:val="es-CO"/>
        </w:rPr>
        <w:t>Secuencia funcional de aplicación y material explicativo de soporte</w:t>
      </w:r>
    </w:p>
    <w:p w14:paraId="176AB2BA" w14:textId="77777777" w:rsidR="005519F7" w:rsidRPr="005519F7" w:rsidRDefault="005519F7" w:rsidP="005519F7">
      <w:pPr>
        <w:widowControl w:val="0"/>
        <w:jc w:val="both"/>
        <w:rPr>
          <w:rFonts w:cs="Arial"/>
          <w:lang w:val="es-CO"/>
        </w:rPr>
      </w:pPr>
    </w:p>
    <w:p w14:paraId="7ABEC01A" w14:textId="6D826770" w:rsidR="007A1842" w:rsidRPr="00550941" w:rsidRDefault="00550941" w:rsidP="005519F7">
      <w:pPr>
        <w:widowControl w:val="0"/>
        <w:jc w:val="both"/>
        <w:rPr>
          <w:rFonts w:cs="Arial"/>
          <w:lang w:val="es-CO"/>
        </w:rPr>
      </w:pPr>
      <w:r w:rsidRPr="00550941">
        <w:rPr>
          <w:rFonts w:cs="Arial"/>
          <w:lang w:val="es-CO"/>
        </w:rPr>
        <w:t>Como apoyo a la comprensión del instrumento, el expediente de soporte y los materiales de explicación institucional podrán incorporar una secuencia funcional o diagrama de alcance que muestre cuándo aplica la resolución, qué evidencia se revisa, qué tipo de conclusión administrativa puede formular la Superintendencia, qué queda por fuera del instrumento y cuándo procede la comunicación o remisión de información a otra autoridad competente.</w:t>
      </w:r>
    </w:p>
    <w:p w14:paraId="74BF67AD" w14:textId="77777777" w:rsidR="005519F7" w:rsidRPr="005519F7" w:rsidRDefault="005519F7" w:rsidP="005519F7">
      <w:pPr>
        <w:widowControl w:val="0"/>
        <w:jc w:val="both"/>
        <w:rPr>
          <w:rFonts w:cs="Arial"/>
          <w:lang w:val="es-CO"/>
        </w:rPr>
      </w:pPr>
    </w:p>
    <w:p w14:paraId="02DC9458" w14:textId="73573CAB" w:rsidR="007A1842" w:rsidRPr="005519F7" w:rsidRDefault="00000000" w:rsidP="005519F7">
      <w:pPr>
        <w:widowControl w:val="0"/>
        <w:jc w:val="both"/>
        <w:rPr>
          <w:rFonts w:cs="Arial"/>
          <w:lang w:val="es-CO"/>
        </w:rPr>
      </w:pPr>
      <w:r w:rsidRPr="005519F7">
        <w:rPr>
          <w:rFonts w:cs="Arial"/>
          <w:lang w:val="es-CO"/>
        </w:rPr>
        <w:t xml:space="preserve">Este recurso visual no sustituye el texto jurídico ni crea obligaciones adicionales. Su finalidad es facilitar la comprensión institucional del alcance del instrumento y evidenciar que el proyecto se mantiene en el plano de documentación, trazabilidad y verificabilidad administrativa, sin validar </w:t>
      </w:r>
      <w:r w:rsidRPr="005519F7">
        <w:rPr>
          <w:rFonts w:cs="Arial"/>
          <w:lang w:val="es-CO"/>
        </w:rPr>
        <w:lastRenderedPageBreak/>
        <w:t>eficacia, liberar contenedores ni sustituir competencias de otras autoridades.</w:t>
      </w:r>
    </w:p>
    <w:p w14:paraId="0EFC1BC5" w14:textId="77777777" w:rsidR="005519F7" w:rsidRPr="005519F7" w:rsidRDefault="005519F7" w:rsidP="005519F7">
      <w:pPr>
        <w:widowControl w:val="0"/>
        <w:jc w:val="both"/>
        <w:rPr>
          <w:rFonts w:cs="Arial"/>
          <w:lang w:val="es-CO"/>
        </w:rPr>
      </w:pPr>
    </w:p>
    <w:p w14:paraId="6333A0D9"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11. Comunicaciones a ICA e INVIMA</w:t>
      </w:r>
    </w:p>
    <w:p w14:paraId="47B2948C" w14:textId="77777777" w:rsidR="005519F7" w:rsidRPr="005519F7" w:rsidRDefault="005519F7" w:rsidP="005519F7">
      <w:pPr>
        <w:widowControl w:val="0"/>
        <w:jc w:val="both"/>
        <w:rPr>
          <w:rFonts w:cs="Arial"/>
          <w:lang w:val="es-CO"/>
        </w:rPr>
      </w:pPr>
    </w:p>
    <w:p w14:paraId="4EAE9D78" w14:textId="78C20E7C" w:rsidR="007A1842" w:rsidRPr="005519F7" w:rsidRDefault="00000000" w:rsidP="005519F7">
      <w:pPr>
        <w:widowControl w:val="0"/>
        <w:jc w:val="both"/>
        <w:rPr>
          <w:rFonts w:cs="Arial"/>
          <w:lang w:val="es-CO"/>
        </w:rPr>
      </w:pPr>
      <w:r w:rsidRPr="005519F7">
        <w:rPr>
          <w:rFonts w:cs="Arial"/>
          <w:lang w:val="es-CO"/>
        </w:rPr>
        <w:t>Las comunicaciones a ICA e INVIMA deben entenderse como solicitudes institucionales de comentarios de frontera competencial. No tienen por objeto pedir aprobación, visto bueno, autorización, coautoría ni validación técnica del proyecto.</w:t>
      </w:r>
    </w:p>
    <w:p w14:paraId="08F3ED42" w14:textId="77777777" w:rsidR="005519F7" w:rsidRPr="005519F7" w:rsidRDefault="005519F7" w:rsidP="005519F7">
      <w:pPr>
        <w:widowControl w:val="0"/>
        <w:jc w:val="both"/>
        <w:rPr>
          <w:rFonts w:cs="Arial"/>
          <w:lang w:val="es-CO"/>
        </w:rPr>
      </w:pPr>
    </w:p>
    <w:p w14:paraId="1BDBE002" w14:textId="3B72D93F" w:rsidR="007A1842" w:rsidRPr="00D92CD2" w:rsidRDefault="00D92CD2" w:rsidP="005519F7">
      <w:pPr>
        <w:widowControl w:val="0"/>
        <w:jc w:val="both"/>
        <w:rPr>
          <w:rFonts w:cs="Arial"/>
          <w:lang w:val="es-CO"/>
        </w:rPr>
      </w:pPr>
      <w:r w:rsidRPr="00D92CD2">
        <w:rPr>
          <w:rFonts w:cs="Arial"/>
          <w:lang w:val="es-CO"/>
        </w:rPr>
        <w:t>Dado que dichas comunicaciones se relacionan con la delimitación institucional de competencias frente a un proyecto de acto administrativo general, se considera conveniente que sean suscritas por el Superintendente de Transporte, precedidas de una explicación clara, práctica y suficiente sobre el alcance documental del proyecto.</w:t>
      </w:r>
    </w:p>
    <w:p w14:paraId="3BB9F525" w14:textId="77777777" w:rsidR="005519F7" w:rsidRDefault="005519F7" w:rsidP="005519F7">
      <w:pPr>
        <w:widowControl w:val="0"/>
        <w:jc w:val="both"/>
        <w:rPr>
          <w:rFonts w:cs="Arial"/>
          <w:lang w:val="es-CO"/>
        </w:rPr>
      </w:pPr>
    </w:p>
    <w:p w14:paraId="4E6CCEA4" w14:textId="5048EAB8" w:rsidR="00550941" w:rsidRPr="00550941" w:rsidRDefault="00550941" w:rsidP="005519F7">
      <w:pPr>
        <w:widowControl w:val="0"/>
        <w:jc w:val="both"/>
        <w:rPr>
          <w:rFonts w:cs="Arial"/>
          <w:lang w:val="es-CO"/>
        </w:rPr>
      </w:pPr>
      <w:r w:rsidRPr="00550941">
        <w:rPr>
          <w:rFonts w:cs="Arial"/>
          <w:lang w:val="es-CO"/>
        </w:rPr>
        <w:t>Estas comunicaciones no forman parte del contenido obligacional de la resolución ni constituyen requisito de validez material del acto administrativo. Su finalidad es fortalecer la articulación interinstitucional, recoger comentarios de frontera competencial y prevenir interpretaciones extensivas sobre materias ajenas a la competencia de la Superintendencia de Transporte.</w:t>
      </w:r>
    </w:p>
    <w:p w14:paraId="21331CDA" w14:textId="77777777" w:rsidR="00550941" w:rsidRPr="005519F7" w:rsidRDefault="00550941" w:rsidP="005519F7">
      <w:pPr>
        <w:widowControl w:val="0"/>
        <w:jc w:val="both"/>
        <w:rPr>
          <w:rFonts w:cs="Arial"/>
          <w:lang w:val="es-CO"/>
        </w:rPr>
      </w:pPr>
    </w:p>
    <w:p w14:paraId="5D2D7747" w14:textId="77777777"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12. Impacto económico, presupuestal y operativo</w:t>
      </w:r>
    </w:p>
    <w:p w14:paraId="221A52B2" w14:textId="77777777" w:rsidR="005519F7" w:rsidRPr="005519F7" w:rsidRDefault="005519F7" w:rsidP="005519F7">
      <w:pPr>
        <w:widowControl w:val="0"/>
        <w:jc w:val="both"/>
        <w:rPr>
          <w:rFonts w:cs="Arial"/>
          <w:lang w:val="es-CO"/>
        </w:rPr>
      </w:pPr>
    </w:p>
    <w:p w14:paraId="3445D4BB" w14:textId="2ADF2226" w:rsidR="007A1842" w:rsidRPr="00550941" w:rsidRDefault="00D92CD2" w:rsidP="005519F7">
      <w:pPr>
        <w:widowControl w:val="0"/>
        <w:jc w:val="both"/>
        <w:rPr>
          <w:rFonts w:cs="Arial"/>
          <w:lang w:val="es-CO"/>
        </w:rPr>
      </w:pPr>
      <w:r w:rsidRPr="00D92CD2">
        <w:rPr>
          <w:rFonts w:cs="Arial"/>
          <w:lang w:val="es-CO"/>
        </w:rPr>
        <w:t>De manera preliminar, y teniendo en cuenta que el proyecto se limita al plano documental y de verificabilidad administrativa, el impacto económico directo sobre los sujetos destinatarios se estima acotado</w:t>
      </w:r>
      <w:r w:rsidR="00550941" w:rsidRPr="00550941">
        <w:rPr>
          <w:rFonts w:cs="Arial"/>
          <w:lang w:val="es-CO"/>
        </w:rPr>
        <w:t xml:space="preserve"> y concentrado principalmente en cargas administrativas de documentación, trazabilidad, conservación y disponibilidad de evidencia, sin perjuicio del análisis de impacto económico o presupuestal que integre el expediente regulatorio, cuando resulte aplicable.</w:t>
      </w:r>
      <w:r w:rsidR="00550941">
        <w:rPr>
          <w:rFonts w:cs="Arial"/>
          <w:lang w:val="es-CO"/>
        </w:rPr>
        <w:t xml:space="preserve"> </w:t>
      </w:r>
      <w:r w:rsidR="00550941" w:rsidRPr="00550941">
        <w:rPr>
          <w:rFonts w:cs="Arial"/>
          <w:lang w:val="es-CO"/>
        </w:rPr>
        <w:t>No se identifican costos directos derivados de la adquisición obligatoria de tecnologías, equipos, sustancias, certificaciones, ensayos o evaluaciones de conformidad, dado que el proyecto mantiene neutralidad tecnológica y se limita a evidencia documental.</w:t>
      </w:r>
    </w:p>
    <w:p w14:paraId="39327AEF" w14:textId="77777777" w:rsidR="005519F7" w:rsidRPr="005519F7" w:rsidRDefault="005519F7" w:rsidP="005519F7">
      <w:pPr>
        <w:widowControl w:val="0"/>
        <w:jc w:val="both"/>
        <w:rPr>
          <w:rFonts w:cs="Arial"/>
          <w:lang w:val="es-CO"/>
        </w:rPr>
      </w:pPr>
    </w:p>
    <w:p w14:paraId="75FEE006" w14:textId="66E34DF4" w:rsidR="007A1842" w:rsidRPr="005519F7" w:rsidRDefault="00000000" w:rsidP="005519F7">
      <w:pPr>
        <w:widowControl w:val="0"/>
        <w:jc w:val="both"/>
        <w:rPr>
          <w:rFonts w:cs="Arial"/>
          <w:lang w:val="es-CO"/>
        </w:rPr>
      </w:pPr>
      <w:r w:rsidRPr="005519F7">
        <w:rPr>
          <w:rFonts w:cs="Arial"/>
          <w:lang w:val="es-CO"/>
        </w:rPr>
        <w:t>Desde la perspectiva institucional, la implementación puede requerir socialización, capacitación interna, ajuste o adopción de herramienta operativa, visitas selectivas, revisiones documentales, gestión de información, seguimiento y eventual coordinación interinstitucional. Estos costos pueden administrarse mediante implementación gradual y priorización según riesgo y capacidad institucional.</w:t>
      </w:r>
    </w:p>
    <w:p w14:paraId="65B2EF39" w14:textId="77777777" w:rsidR="005519F7" w:rsidRDefault="005519F7" w:rsidP="005519F7">
      <w:pPr>
        <w:widowControl w:val="0"/>
        <w:jc w:val="both"/>
        <w:rPr>
          <w:rFonts w:cs="Arial"/>
          <w:lang w:val="es-CO"/>
        </w:rPr>
      </w:pPr>
    </w:p>
    <w:p w14:paraId="40E3F02F" w14:textId="77777777" w:rsidR="00550941" w:rsidRPr="00550941" w:rsidRDefault="00550941" w:rsidP="00550941">
      <w:pPr>
        <w:widowControl w:val="0"/>
        <w:jc w:val="both"/>
        <w:rPr>
          <w:rFonts w:cs="Arial"/>
          <w:lang w:val="es-CO"/>
        </w:rPr>
      </w:pPr>
      <w:r w:rsidRPr="00550941">
        <w:rPr>
          <w:rFonts w:cs="Arial"/>
          <w:b/>
          <w:bCs/>
          <w:lang w:val="es-CO"/>
        </w:rPr>
        <w:t>13. Publicidad, consulta y expediente de soporte</w:t>
      </w:r>
    </w:p>
    <w:p w14:paraId="6E29F9A7" w14:textId="77777777" w:rsidR="00550941" w:rsidRDefault="00550941" w:rsidP="00550941">
      <w:pPr>
        <w:widowControl w:val="0"/>
        <w:jc w:val="both"/>
        <w:rPr>
          <w:rFonts w:cs="Arial"/>
          <w:lang w:val="es-CO"/>
        </w:rPr>
      </w:pPr>
    </w:p>
    <w:p w14:paraId="03821751" w14:textId="0EFF2B3A" w:rsidR="00550941" w:rsidRPr="00550941" w:rsidRDefault="00550941" w:rsidP="00550941">
      <w:pPr>
        <w:widowControl w:val="0"/>
        <w:jc w:val="both"/>
        <w:rPr>
          <w:rFonts w:cs="Arial"/>
          <w:lang w:val="es-CO"/>
        </w:rPr>
      </w:pPr>
      <w:r w:rsidRPr="00550941">
        <w:rPr>
          <w:rFonts w:cs="Arial"/>
          <w:lang w:val="es-CO"/>
        </w:rPr>
        <w:t>El proyecto deberá integrarse al expediente regulatorio con los documentos jurídicos, técnicos, económicos y procedimentales que resulten aplicables, incluyendo el proyecto de resolución, el anexo técnico, la presente memoria justificativa, el concepto de viabilidad jurídica, los análisis de no creación de trámite y no configuración de reglamento técnico, el análisis de impacto económico o presupuestal cuando corresponda, los soportes de revisión interna, las observaciones recibidas, las respuestas institucionales y las constancias de publicidad, consulta o agenda regulatoria que resulten procedentes.</w:t>
      </w:r>
    </w:p>
    <w:p w14:paraId="5E951860" w14:textId="77777777" w:rsidR="00550941" w:rsidRDefault="00550941" w:rsidP="00550941">
      <w:pPr>
        <w:widowControl w:val="0"/>
        <w:jc w:val="both"/>
        <w:rPr>
          <w:rFonts w:cs="Arial"/>
          <w:lang w:val="es-CO"/>
        </w:rPr>
      </w:pPr>
    </w:p>
    <w:p w14:paraId="30C5228B" w14:textId="18D51250" w:rsidR="00550941" w:rsidRPr="00550941" w:rsidRDefault="00550941" w:rsidP="00550941">
      <w:pPr>
        <w:widowControl w:val="0"/>
        <w:jc w:val="both"/>
        <w:rPr>
          <w:rFonts w:cs="Arial"/>
          <w:lang w:val="es-CO"/>
        </w:rPr>
      </w:pPr>
      <w:r w:rsidRPr="00550941">
        <w:rPr>
          <w:rFonts w:cs="Arial"/>
          <w:lang w:val="es-CO"/>
        </w:rPr>
        <w:t>La publicación, consulta o solicitud de comentarios no deberá entenderse como aprobación material del proyecto por terceros, sino como mecanismo de transparencia, participación, coordinación y fortalecimiento de la motivación del acto administrativo.</w:t>
      </w:r>
    </w:p>
    <w:p w14:paraId="2B9572EC" w14:textId="77777777" w:rsidR="00550941" w:rsidRDefault="00550941" w:rsidP="005519F7">
      <w:pPr>
        <w:widowControl w:val="0"/>
        <w:jc w:val="both"/>
        <w:rPr>
          <w:rFonts w:cs="Arial"/>
          <w:lang w:val="es-CO"/>
        </w:rPr>
      </w:pPr>
    </w:p>
    <w:p w14:paraId="4DE53B11" w14:textId="5BE22E5E" w:rsidR="007A1842" w:rsidRPr="005519F7" w:rsidRDefault="00000000" w:rsidP="005519F7">
      <w:pPr>
        <w:pStyle w:val="Ttulo1"/>
        <w:keepNext w:val="0"/>
        <w:keepLines w:val="0"/>
        <w:widowControl w:val="0"/>
        <w:rPr>
          <w:rFonts w:ascii="Arial" w:hAnsi="Arial" w:cs="Arial"/>
          <w:color w:val="auto"/>
          <w:sz w:val="22"/>
          <w:szCs w:val="22"/>
          <w:lang w:val="es-CO"/>
        </w:rPr>
      </w:pPr>
      <w:r w:rsidRPr="005519F7">
        <w:rPr>
          <w:rFonts w:ascii="Arial" w:eastAsia="Arial" w:hAnsi="Arial" w:cs="Arial"/>
          <w:color w:val="auto"/>
          <w:sz w:val="22"/>
          <w:szCs w:val="22"/>
          <w:lang w:val="es-CO"/>
        </w:rPr>
        <w:t>1</w:t>
      </w:r>
      <w:r w:rsidR="00550941">
        <w:rPr>
          <w:rFonts w:ascii="Arial" w:eastAsia="Arial" w:hAnsi="Arial" w:cs="Arial"/>
          <w:color w:val="auto"/>
          <w:sz w:val="22"/>
          <w:szCs w:val="22"/>
          <w:lang w:val="es-CO"/>
        </w:rPr>
        <w:t>4</w:t>
      </w:r>
      <w:r w:rsidRPr="005519F7">
        <w:rPr>
          <w:rFonts w:ascii="Arial" w:eastAsia="Arial" w:hAnsi="Arial" w:cs="Arial"/>
          <w:color w:val="auto"/>
          <w:sz w:val="22"/>
          <w:szCs w:val="22"/>
          <w:lang w:val="es-CO"/>
        </w:rPr>
        <w:t>. Conclusión</w:t>
      </w:r>
    </w:p>
    <w:p w14:paraId="6805559C" w14:textId="77777777" w:rsidR="005519F7" w:rsidRPr="005519F7" w:rsidRDefault="005519F7" w:rsidP="005519F7">
      <w:pPr>
        <w:widowControl w:val="0"/>
        <w:jc w:val="both"/>
        <w:rPr>
          <w:rFonts w:cs="Arial"/>
          <w:lang w:val="es-CO"/>
        </w:rPr>
      </w:pPr>
    </w:p>
    <w:p w14:paraId="6E17E2CD" w14:textId="1C905479" w:rsidR="007A1842" w:rsidRPr="005519F7" w:rsidRDefault="00000000" w:rsidP="005519F7">
      <w:pPr>
        <w:widowControl w:val="0"/>
        <w:jc w:val="both"/>
        <w:rPr>
          <w:rFonts w:cs="Arial"/>
          <w:lang w:val="es-CO"/>
        </w:rPr>
      </w:pPr>
      <w:r w:rsidRPr="005519F7">
        <w:rPr>
          <w:rFonts w:cs="Arial"/>
          <w:lang w:val="es-CO"/>
        </w:rPr>
        <w:t xml:space="preserve">Con fundamento en los antecedentes, el problema identificado, la revisión interna efectuada, la necesidad institucional, la delimitación competencial, la oportunidad de intervención y la estructura propuesta, se considera justificada la expedición de una resolución orientada a establecer </w:t>
      </w:r>
      <w:r w:rsidRPr="005519F7">
        <w:rPr>
          <w:rFonts w:cs="Arial"/>
          <w:lang w:val="es-CO"/>
        </w:rPr>
        <w:lastRenderedPageBreak/>
        <w:t>condiciones mínimas de documentación, trazabilidad, conservación, disponibilidad de evidencia y verificabilidad administrativa respecto de procesos de higienización aplicados a contenedores vacíos en instalaciones portuarias y zonas logísticas funcionalmente asociadas.</w:t>
      </w:r>
    </w:p>
    <w:p w14:paraId="61D89F9A" w14:textId="77777777" w:rsidR="005519F7" w:rsidRPr="005519F7" w:rsidRDefault="005519F7" w:rsidP="005519F7">
      <w:pPr>
        <w:widowControl w:val="0"/>
        <w:jc w:val="both"/>
        <w:rPr>
          <w:rFonts w:cs="Arial"/>
          <w:lang w:val="es-CO"/>
        </w:rPr>
      </w:pPr>
    </w:p>
    <w:p w14:paraId="2564B455" w14:textId="381C96D9" w:rsidR="007A1842" w:rsidRPr="00550941" w:rsidRDefault="00550941" w:rsidP="005519F7">
      <w:pPr>
        <w:widowControl w:val="0"/>
        <w:jc w:val="both"/>
        <w:rPr>
          <w:rFonts w:cs="Arial"/>
          <w:lang w:val="es-CO"/>
        </w:rPr>
      </w:pPr>
      <w:r w:rsidRPr="00550941">
        <w:rPr>
          <w:rFonts w:cs="Arial"/>
          <w:lang w:val="es-CO"/>
        </w:rPr>
        <w:t>La alternativa de resolución de carácter general, limitada al plano administrativo de inspección, vigilancia y control, resulta proporcional y defendible en la medida en que conserve la tesis estructural del proyecto: la Superintendencia de Transporte verifica administrativamente la existencia, consistencia, conservación, disponibilidad y trazabilidad de la evidencia asociada al proceso documentado; no certifica, homologa, valida, avala, autoriza, libera ni califica la eficacia sanitaria, fitosanitaria, ambiental, microbiológica, de inocuidad, aduanera, comercial o técnica del tratamiento aplicado.</w:t>
      </w:r>
    </w:p>
    <w:p w14:paraId="2F031380" w14:textId="77777777" w:rsidR="005519F7" w:rsidRPr="005519F7" w:rsidRDefault="005519F7" w:rsidP="005519F7">
      <w:pPr>
        <w:widowControl w:val="0"/>
        <w:jc w:val="both"/>
        <w:rPr>
          <w:rFonts w:cs="Arial"/>
          <w:lang w:val="es-CO"/>
        </w:rPr>
      </w:pPr>
    </w:p>
    <w:sectPr w:rsidR="005519F7" w:rsidRPr="005519F7">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8852" w14:textId="77777777" w:rsidR="0069751B" w:rsidRDefault="0069751B">
      <w:r>
        <w:separator/>
      </w:r>
    </w:p>
  </w:endnote>
  <w:endnote w:type="continuationSeparator" w:id="0">
    <w:p w14:paraId="6DDC3E3C" w14:textId="77777777" w:rsidR="0069751B" w:rsidRDefault="006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37E1" w14:textId="3D7EC939" w:rsidR="00A7583E" w:rsidRPr="00A7583E" w:rsidRDefault="00A7583E" w:rsidP="00A7583E">
    <w:pPr>
      <w:pStyle w:val="Piedepgina"/>
      <w:jc w:val="center"/>
      <w:rPr>
        <w:lang w:val="es-CO"/>
      </w:rPr>
    </w:pPr>
    <w:r>
      <w:rPr>
        <w:lang w:val="es-CO"/>
      </w:rPr>
      <w:t xml:space="preserve">Hoja </w:t>
    </w:r>
    <w:r w:rsidRPr="00A7583E">
      <w:rPr>
        <w:lang w:val="es-CO"/>
      </w:rPr>
      <w:fldChar w:fldCharType="begin"/>
    </w:r>
    <w:r w:rsidRPr="00A7583E">
      <w:rPr>
        <w:lang w:val="es-CO"/>
      </w:rPr>
      <w:instrText>PAGE   \* MERGEFORMAT</w:instrText>
    </w:r>
    <w:r w:rsidRPr="00A7583E">
      <w:rPr>
        <w:lang w:val="es-CO"/>
      </w:rPr>
      <w:fldChar w:fldCharType="separate"/>
    </w:r>
    <w:r w:rsidRPr="00A7583E">
      <w:rPr>
        <w:lang w:val="es-MX"/>
      </w:rPr>
      <w:t>1</w:t>
    </w:r>
    <w:r w:rsidRPr="00A7583E">
      <w:rPr>
        <w:lang w:val="es-CO"/>
      </w:rPr>
      <w:fldChar w:fldCharType="end"/>
    </w:r>
    <w:r>
      <w:rPr>
        <w:lang w:val="es-CO"/>
      </w:rPr>
      <w:t xml:space="preserve"> de </w:t>
    </w:r>
    <w:r>
      <w:rPr>
        <w:lang w:val="es-CO"/>
      </w:rPr>
      <w:fldChar w:fldCharType="begin"/>
    </w:r>
    <w:r>
      <w:rPr>
        <w:lang w:val="es-CO"/>
      </w:rPr>
      <w:instrText xml:space="preserve"> NUMPAGES   \* MERGEFORMAT </w:instrText>
    </w:r>
    <w:r>
      <w:rPr>
        <w:lang w:val="es-CO"/>
      </w:rPr>
      <w:fldChar w:fldCharType="separate"/>
    </w:r>
    <w:r>
      <w:rPr>
        <w:noProof/>
        <w:lang w:val="es-CO"/>
      </w:rPr>
      <w:t>4</w:t>
    </w:r>
    <w:r>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2CC2" w14:textId="77777777" w:rsidR="0069751B" w:rsidRDefault="0069751B">
      <w:r>
        <w:separator/>
      </w:r>
    </w:p>
  </w:footnote>
  <w:footnote w:type="continuationSeparator" w:id="0">
    <w:p w14:paraId="264E4034" w14:textId="77777777" w:rsidR="0069751B" w:rsidRDefault="0069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BAD6" w14:textId="06B3FEFF" w:rsidR="00A7583E" w:rsidRDefault="00A7583E" w:rsidP="00A7583E">
    <w:pPr>
      <w:pStyle w:val="Encabezado"/>
      <w:jc w:val="center"/>
      <w:rPr>
        <w:lang w:val="es-CO"/>
      </w:rPr>
    </w:pPr>
    <w:r w:rsidRPr="005519F7">
      <w:rPr>
        <w:rFonts w:cs="Arial"/>
        <w:b/>
        <w:lang w:val="es-CO"/>
      </w:rPr>
      <w:t>MEMORIA JUSTIFICATIVA DEL PROYECTO DE RESOLUCIÓN PHLC</w:t>
    </w:r>
  </w:p>
  <w:p w14:paraId="6FD98443" w14:textId="77777777" w:rsidR="00A7583E" w:rsidRPr="00A7583E" w:rsidRDefault="00A7583E">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connmero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connmero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convietas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convietas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num w:numId="1" w16cid:durableId="1787574434">
    <w:abstractNumId w:val="1"/>
  </w:num>
  <w:num w:numId="2" w16cid:durableId="3555957">
    <w:abstractNumId w:val="0"/>
  </w:num>
  <w:num w:numId="3" w16cid:durableId="1631860945">
    <w:abstractNumId w:val="4"/>
  </w:num>
  <w:num w:numId="4" w16cid:durableId="87970573">
    <w:abstractNumId w:val="2"/>
  </w:num>
  <w:num w:numId="5" w16cid:durableId="1911495597">
    <w:abstractNumId w:val="5"/>
  </w:num>
  <w:num w:numId="6" w16cid:durableId="135824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744D"/>
    <w:rsid w:val="004E7F58"/>
    <w:rsid w:val="00550941"/>
    <w:rsid w:val="005519F7"/>
    <w:rsid w:val="0069751B"/>
    <w:rsid w:val="007A1842"/>
    <w:rsid w:val="00A7583E"/>
    <w:rsid w:val="00AA1D8D"/>
    <w:rsid w:val="00B47730"/>
    <w:rsid w:val="00CB0664"/>
    <w:rsid w:val="00D92CD2"/>
    <w:rsid w:val="00DF3F8A"/>
    <w:rsid w:val="00FC693F"/>
    <w:rsid w:val="7DAC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06E61"/>
  <w14:defaultImageDpi w14:val="300"/>
  <w15:docId w15:val="{58A35751-A5A6-4E6B-B9C3-1C726F3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lsdException w:name="List 2" w:unhideWhenUsed="1" w:qFormat="1"/>
    <w:lsdException w:name="List 3"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szCs w:val="22"/>
      <w:lang w:val="en-US" w:eastAsia="en-US"/>
    </w:rPr>
  </w:style>
  <w:style w:type="paragraph" w:styleId="Ttulo1">
    <w:name w:val="heading 1"/>
    <w:basedOn w:val="Normal"/>
    <w:next w:val="Normal"/>
    <w:link w:val="Ttulo1Car"/>
    <w:uiPriority w:val="9"/>
    <w:qFormat/>
    <w:pPr>
      <w:keepNext/>
      <w:keepLines/>
      <w:outlineLvl w:val="0"/>
    </w:pPr>
    <w:rPr>
      <w:rFonts w:asciiTheme="majorHAnsi" w:eastAsiaTheme="majorEastAsia" w:hAnsiTheme="majorHAnsi" w:cstheme="majorBidi"/>
      <w:b/>
      <w:bCs/>
      <w:color w:val="365F91" w:themeColor="accent1" w:themeShade="BF"/>
      <w:sz w:val="24"/>
      <w:szCs w:val="28"/>
    </w:rPr>
  </w:style>
  <w:style w:type="paragraph" w:styleId="Ttulo2">
    <w:name w:val="heading 2"/>
    <w:basedOn w:val="Normal"/>
    <w:next w:val="Normal"/>
    <w:link w:val="Ttulo2Car"/>
    <w:uiPriority w:val="9"/>
    <w:unhideWhenUsed/>
    <w:qFormat/>
    <w:pPr>
      <w:keepNext/>
      <w:keepLines/>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pPr>
      <w:keepNext/>
      <w:keepLines/>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Fuerte">
    <w:name w:val="Strong"/>
    <w:basedOn w:val="Fuentedeprrafopredeter"/>
    <w:uiPriority w:val="22"/>
    <w:qFormat/>
    <w:rPr>
      <w:b/>
      <w:bCs/>
    </w:rPr>
  </w:style>
  <w:style w:type="paragraph" w:styleId="Continuarlista2">
    <w:name w:val="List Continue 2"/>
    <w:basedOn w:val="Normal"/>
    <w:uiPriority w:val="99"/>
    <w:unhideWhenUsed/>
    <w:pPr>
      <w:spacing w:after="120"/>
      <w:ind w:left="720"/>
      <w:contextualSpacing/>
    </w:pPr>
  </w:style>
  <w:style w:type="paragraph" w:styleId="Descripcin">
    <w:name w:val="caption"/>
    <w:basedOn w:val="Normal"/>
    <w:next w:val="Normal"/>
    <w:uiPriority w:val="35"/>
    <w:semiHidden/>
    <w:unhideWhenUsed/>
    <w:qFormat/>
    <w:rPr>
      <w:b/>
      <w:bCs/>
      <w:color w:val="4F81BD" w:themeColor="accent1"/>
      <w:sz w:val="18"/>
      <w:szCs w:val="18"/>
    </w:rPr>
  </w:style>
  <w:style w:type="paragraph" w:styleId="Textomacro">
    <w:name w:val="macro"/>
    <w:link w:val="TextomacroC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Continuarlista3">
    <w:name w:val="List Continue 3"/>
    <w:basedOn w:val="Normal"/>
    <w:uiPriority w:val="99"/>
    <w:unhideWhenUsed/>
    <w:qFormat/>
    <w:pPr>
      <w:spacing w:after="120"/>
      <w:ind w:left="1080"/>
      <w:contextualSpacing/>
    </w:pPr>
  </w:style>
  <w:style w:type="paragraph" w:styleId="Continuarlista">
    <w:name w:val="List Continue"/>
    <w:basedOn w:val="Normal"/>
    <w:uiPriority w:val="99"/>
    <w:unhideWhenUsed/>
    <w:qFormat/>
    <w:pPr>
      <w:spacing w:after="120"/>
      <w:ind w:left="360"/>
      <w:contextualSpacing/>
    </w:pPr>
  </w:style>
  <w:style w:type="paragraph" w:styleId="Textoindependiente2">
    <w:name w:val="Body Text 2"/>
    <w:basedOn w:val="Normal"/>
    <w:link w:val="Textoindependiente2Car"/>
    <w:uiPriority w:val="99"/>
    <w:unhideWhenUsed/>
    <w:qFormat/>
    <w:pPr>
      <w:spacing w:after="120" w:line="480" w:lineRule="auto"/>
    </w:pPr>
  </w:style>
  <w:style w:type="paragraph" w:styleId="Lista3">
    <w:name w:val="List 3"/>
    <w:basedOn w:val="Normal"/>
    <w:uiPriority w:val="99"/>
    <w:unhideWhenUsed/>
    <w:pPr>
      <w:ind w:left="1080" w:hanging="360"/>
      <w:contextualSpacing/>
    </w:pPr>
  </w:style>
  <w:style w:type="paragraph" w:styleId="Listaconnmeros2">
    <w:name w:val="List Number 2"/>
    <w:basedOn w:val="Normal"/>
    <w:uiPriority w:val="99"/>
    <w:unhideWhenUsed/>
    <w:qFormat/>
    <w:pPr>
      <w:numPr>
        <w:numId w:val="1"/>
      </w:numPr>
      <w:contextualSpacing/>
    </w:pPr>
  </w:style>
  <w:style w:type="paragraph" w:styleId="Encabezado">
    <w:name w:val="header"/>
    <w:basedOn w:val="Normal"/>
    <w:link w:val="EncabezadoCar"/>
    <w:uiPriority w:val="99"/>
    <w:unhideWhenUsed/>
    <w:qFormat/>
    <w:pPr>
      <w:tabs>
        <w:tab w:val="center" w:pos="4680"/>
        <w:tab w:val="right" w:pos="9360"/>
      </w:tabs>
    </w:pPr>
  </w:style>
  <w:style w:type="paragraph" w:styleId="Listaconnmeros3">
    <w:name w:val="List Number 3"/>
    <w:basedOn w:val="Normal"/>
    <w:uiPriority w:val="99"/>
    <w:unhideWhenUsed/>
    <w:pPr>
      <w:numPr>
        <w:numId w:val="2"/>
      </w:numPr>
      <w:contextualSpacing/>
    </w:pPr>
  </w:style>
  <w:style w:type="paragraph" w:styleId="Listaconnmeros">
    <w:name w:val="List Number"/>
    <w:basedOn w:val="Normal"/>
    <w:uiPriority w:val="99"/>
    <w:unhideWhenUsed/>
    <w:pPr>
      <w:numPr>
        <w:numId w:val="3"/>
      </w:numPr>
      <w:contextualSpacing/>
    </w:pPr>
  </w:style>
  <w:style w:type="paragraph" w:styleId="Lista2">
    <w:name w:val="List 2"/>
    <w:basedOn w:val="Normal"/>
    <w:uiPriority w:val="99"/>
    <w:unhideWhenUsed/>
    <w:qFormat/>
    <w:pPr>
      <w:ind w:left="720" w:hanging="360"/>
      <w:contextualSpacing/>
    </w:pPr>
  </w:style>
  <w:style w:type="paragraph" w:styleId="Listaconvietas3">
    <w:name w:val="List Bullet 3"/>
    <w:basedOn w:val="Normal"/>
    <w:uiPriority w:val="99"/>
    <w:unhideWhenUsed/>
    <w:qFormat/>
    <w:pPr>
      <w:numPr>
        <w:numId w:val="4"/>
      </w:numPr>
      <w:contextualSpacing/>
    </w:pPr>
  </w:style>
  <w:style w:type="paragraph" w:styleId="Lista">
    <w:name w:val="List"/>
    <w:basedOn w:val="Normal"/>
    <w:uiPriority w:val="99"/>
    <w:unhideWhenUsed/>
    <w:qFormat/>
    <w:pPr>
      <w:ind w:left="360" w:hanging="360"/>
      <w:contextualSpacing/>
    </w:pPr>
  </w:style>
  <w:style w:type="paragraph" w:styleId="Listaconvietas">
    <w:name w:val="List Bullet"/>
    <w:basedOn w:val="Normal"/>
    <w:uiPriority w:val="99"/>
    <w:unhideWhenUsed/>
    <w:qFormat/>
    <w:pPr>
      <w:numPr>
        <w:numId w:val="5"/>
      </w:numPr>
      <w:contextualSpacing/>
    </w:pPr>
  </w:style>
  <w:style w:type="paragraph" w:styleId="Listaconvietas2">
    <w:name w:val="List Bullet 2"/>
    <w:basedOn w:val="Normal"/>
    <w:uiPriority w:val="99"/>
    <w:unhideWhenUsed/>
    <w:qFormat/>
    <w:pPr>
      <w:numPr>
        <w:numId w:val="6"/>
      </w:numPr>
      <w:contextualSpacing/>
    </w:pPr>
  </w:style>
  <w:style w:type="paragraph" w:styleId="Piedepgina">
    <w:name w:val="footer"/>
    <w:basedOn w:val="Normal"/>
    <w:link w:val="PiedepginaCar"/>
    <w:uiPriority w:val="99"/>
    <w:unhideWhenUsed/>
    <w:qFormat/>
    <w:pPr>
      <w:tabs>
        <w:tab w:val="center" w:pos="4680"/>
        <w:tab w:val="right" w:pos="9360"/>
      </w:tabs>
    </w:p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paragraph" w:styleId="Textoindependiente">
    <w:name w:val="Body Text"/>
    <w:basedOn w:val="Normal"/>
    <w:link w:val="TextoindependienteCar"/>
    <w:uiPriority w:val="99"/>
    <w:unhideWhenUsed/>
    <w:qFormat/>
  </w:style>
  <w:style w:type="paragraph" w:styleId="Textoindependiente3">
    <w:name w:val="Body Text 3"/>
    <w:basedOn w:val="Normal"/>
    <w:link w:val="Textoindependiente3Car"/>
    <w:uiPriority w:val="99"/>
    <w:unhideWhenUsed/>
    <w:qFormat/>
    <w:pPr>
      <w:spacing w:after="120"/>
    </w:pPr>
    <w:rPr>
      <w:sz w:val="16"/>
      <w:szCs w:val="16"/>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sz w:val="22"/>
      <w:szCs w:val="22"/>
      <w:lang w:val="en-US" w:eastAsia="en-US"/>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tuloCar">
    <w:name w:val="Subtítulo Car"/>
    <w:basedOn w:val="Fuentedeprrafopredeter"/>
    <w:link w:val="Subttulo"/>
    <w:uiPriority w:val="11"/>
    <w:qFormat/>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99"/>
    <w:qFormat/>
  </w:style>
  <w:style w:type="character" w:customStyle="1" w:styleId="Textoindependiente2Car">
    <w:name w:val="Texto independiente 2 Car"/>
    <w:basedOn w:val="Fuentedeprrafopredeter"/>
    <w:link w:val="Textoindependiente2"/>
    <w:uiPriority w:val="99"/>
    <w:qFormat/>
  </w:style>
  <w:style w:type="character" w:customStyle="1" w:styleId="Textoindependiente3Car">
    <w:name w:val="Texto independiente 3 Car"/>
    <w:basedOn w:val="Fuentedeprrafopredeter"/>
    <w:link w:val="Textoindependiente3"/>
    <w:uiPriority w:val="99"/>
    <w:qFormat/>
    <w:rPr>
      <w:sz w:val="16"/>
      <w:szCs w:val="16"/>
    </w:rPr>
  </w:style>
  <w:style w:type="character" w:customStyle="1" w:styleId="TextomacroCar">
    <w:name w:val="Texto macro Car"/>
    <w:basedOn w:val="Fuentedeprrafopredeter"/>
    <w:link w:val="Textomacro"/>
    <w:uiPriority w:val="99"/>
    <w:rPr>
      <w:rFonts w:ascii="Courier" w:hAnsi="Courier"/>
      <w:sz w:val="20"/>
      <w:szCs w:val="20"/>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4061" w:themeColor="accent1"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4061" w:themeColor="accent1" w:themeShade="80"/>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qFormat/>
    <w:rPr>
      <w:b/>
      <w:bCs/>
      <w:i/>
      <w:iCs/>
      <w:color w:val="4F81BD" w:themeColor="accent1"/>
    </w:rPr>
  </w:style>
  <w:style w:type="character" w:customStyle="1" w:styleId="nfasissutil1">
    <w:name w:val="Énfasis sutil1"/>
    <w:basedOn w:val="Fuentedeprrafopredeter"/>
    <w:uiPriority w:val="19"/>
    <w:qFormat/>
    <w:rPr>
      <w:i/>
      <w:iCs/>
      <w:color w:val="7F7F7F" w:themeColor="text1" w:themeTint="80"/>
    </w:rPr>
  </w:style>
  <w:style w:type="character" w:customStyle="1" w:styleId="nfasisintenso1">
    <w:name w:val="Énfasis intenso1"/>
    <w:basedOn w:val="Fuentedeprrafopredeter"/>
    <w:uiPriority w:val="21"/>
    <w:qFormat/>
    <w:rPr>
      <w:b/>
      <w:bCs/>
      <w:i/>
      <w:iCs/>
      <w:color w:val="4F81BD" w:themeColor="accent1"/>
    </w:rPr>
  </w:style>
  <w:style w:type="character" w:customStyle="1" w:styleId="Referenciasutil1">
    <w:name w:val="Referencia sutil1"/>
    <w:basedOn w:val="Fuentedeprrafopredeter"/>
    <w:uiPriority w:val="31"/>
    <w:qFormat/>
    <w:rPr>
      <w:smallCaps/>
      <w:color w:val="C0504D" w:themeColor="accent2"/>
      <w:u w:val="single"/>
    </w:rPr>
  </w:style>
  <w:style w:type="character" w:customStyle="1" w:styleId="Referenciaintensa1">
    <w:name w:val="Referencia intensa1"/>
    <w:basedOn w:val="Fuentedeprrafopredeter"/>
    <w:uiPriority w:val="32"/>
    <w:qFormat/>
    <w:rPr>
      <w:b/>
      <w:bCs/>
      <w:smallCaps/>
      <w:color w:val="C0504D" w:themeColor="accent2"/>
      <w:spacing w:val="5"/>
      <w:u w:val="single"/>
    </w:rPr>
  </w:style>
  <w:style w:type="character" w:customStyle="1" w:styleId="Ttulodellibro1">
    <w:name w:val="Título del libro1"/>
    <w:basedOn w:val="Fuentedeprrafopredeter"/>
    <w:uiPriority w:val="33"/>
    <w:qFormat/>
    <w:rPr>
      <w:b/>
      <w:bCs/>
      <w:smallCaps/>
      <w:spacing w:val="5"/>
    </w:rPr>
  </w:style>
  <w:style w:type="paragraph" w:customStyle="1" w:styleId="TtuloTDC1">
    <w:name w:val="Título TDC1"/>
    <w:basedOn w:val="Ttulo1"/>
    <w:next w:val="Normal"/>
    <w:uiPriority w:val="39"/>
    <w:semiHidden/>
    <w:unhideWhenUsed/>
    <w:qFormat/>
    <w:pPr>
      <w:outlineLvl w:val="9"/>
    </w:pPr>
  </w:style>
  <w:style w:type="table" w:styleId="Sombreadoclaro">
    <w:name w:val="Light Shading"/>
    <w:basedOn w:val="Tabla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Cuadrculaclara-nfasis1">
    <w:name w:val="Light Grid Accent 1"/>
    <w:basedOn w:val="Tabla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Cuadrculaclara-nfasis2">
    <w:name w:val="Light Grid Accent 2"/>
    <w:basedOn w:val="Tabla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Cuadrculaclara-nfasis3">
    <w:name w:val="Light Grid Accent 3"/>
    <w:basedOn w:val="Tabla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Cuadrculaclara-nfasis4">
    <w:name w:val="Light Grid Accent 4"/>
    <w:basedOn w:val="Tabla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Cuadrculaclara-nfasis5">
    <w:name w:val="Light Grid Accent 5"/>
    <w:basedOn w:val="Tabla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Cuadrculaclara-nfasis6">
    <w:name w:val="Light Grid Accent 6"/>
    <w:basedOn w:val="Tabla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Sombreadomedio1">
    <w:name w:val="Medium Shading 1"/>
    <w:basedOn w:val="Tabla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uadrculamedia3-nfasis1">
    <w:name w:val="Medium Grid 3 Accent 1"/>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uadrculamedia3-nfasis2">
    <w:name w:val="Medium Grid 3 Accent 2"/>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Cuadrculamedia3-nfasis3">
    <w:name w:val="Medium Grid 3 Accent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Cuadrculamedia3-nfasis4">
    <w:name w:val="Medium Grid 3 Accent 4"/>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Cuadrculamedia3-nfasis5">
    <w:name w:val="Medium Grid 3 Accent 5"/>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Cuadrculamedia3-nfasis6">
    <w:name w:val="Medium Grid 3 Accent 6"/>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aoscura">
    <w:name w:val="Dark List"/>
    <w:basedOn w:val="Tabla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2244</Words>
  <Characters>12343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Gerardo Porras Rueda</cp:lastModifiedBy>
  <cp:revision>4</cp:revision>
  <dcterms:created xsi:type="dcterms:W3CDTF">2013-12-23T23:15:00Z</dcterms:created>
  <dcterms:modified xsi:type="dcterms:W3CDTF">2026-06-02T04:01:00Z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2058-12.1.0.26372</vt:lpwstr>
  </property>
  <property fmtid="{D5CDD505-2E9C-101B-9397-08002B2CF9AE}" pid="3" name="ICV">
    <vt:lpwstr>E12F8FBC47074250B69B94977CDD7957_13</vt:lpwstr>
  </property>
</Properties>
</file>