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F674" w14:textId="1B632BBB" w:rsidR="000553D7" w:rsidRPr="000553D7" w:rsidRDefault="000553D7" w:rsidP="000553D7">
      <w:pPr>
        <w:pStyle w:val="Ttulo1"/>
        <w:keepNext w:val="0"/>
        <w:keepLines w:val="0"/>
        <w:widowControl w:val="0"/>
        <w:jc w:val="center"/>
        <w:rPr>
          <w:rFonts w:ascii="Arial" w:eastAsia="Arial" w:hAnsi="Arial" w:cs="Arial"/>
          <w:color w:val="auto"/>
          <w:sz w:val="22"/>
          <w:szCs w:val="22"/>
          <w:lang w:val="es-CO"/>
        </w:rPr>
      </w:pPr>
      <w:r w:rsidRPr="000553D7">
        <w:rPr>
          <w:rFonts w:ascii="Arial" w:eastAsia="Arial" w:hAnsi="Arial" w:cs="Arial"/>
          <w:color w:val="auto"/>
          <w:sz w:val="22"/>
          <w:szCs w:val="22"/>
          <w:lang w:val="es-CO"/>
        </w:rPr>
        <w:t>Condiciones mínimas de documentación, trazabilidad, conservación, disponibilidad de evidencia y verificabilidad administrativa respecto de procesos de higienización aplicados a contenedores vacíos</w:t>
      </w:r>
    </w:p>
    <w:p w14:paraId="0E0C2C35" w14:textId="77777777" w:rsidR="000553D7" w:rsidRPr="000553D7" w:rsidRDefault="000553D7" w:rsidP="000553D7">
      <w:pPr>
        <w:rPr>
          <w:lang w:val="es-CO"/>
        </w:rPr>
      </w:pPr>
    </w:p>
    <w:p w14:paraId="6CA60E62" w14:textId="41B3DDC0"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1. Objeto del concepto</w:t>
      </w:r>
    </w:p>
    <w:p w14:paraId="165BE163" w14:textId="77777777" w:rsidR="00EB1EDF" w:rsidRPr="000553D7" w:rsidRDefault="00EB1EDF" w:rsidP="000553D7">
      <w:pPr>
        <w:widowControl w:val="0"/>
        <w:jc w:val="both"/>
        <w:rPr>
          <w:rFonts w:cs="Arial"/>
          <w:lang w:val="es-CO"/>
        </w:rPr>
      </w:pPr>
    </w:p>
    <w:p w14:paraId="3982AD61" w14:textId="7EDA437C" w:rsidR="00404531" w:rsidRPr="000553D7" w:rsidRDefault="00000000" w:rsidP="000553D7">
      <w:pPr>
        <w:widowControl w:val="0"/>
        <w:jc w:val="both"/>
        <w:rPr>
          <w:rFonts w:cs="Arial"/>
          <w:lang w:val="es-CO"/>
        </w:rPr>
      </w:pPr>
      <w:r w:rsidRPr="000553D7">
        <w:rPr>
          <w:rFonts w:cs="Arial"/>
          <w:lang w:val="es-CO"/>
        </w:rPr>
        <w:t>El presente concepto tiene por objeto analizar la viabilidad jurídica del proyecto de resolución mediante el cual la Superintendencia de Transporte propone establecer condiciones mínimas de documentación, trazabilidad, conservación, disponibilidad de evidencia y verificabilidad administrativa respecto de procesos de higienización aplicados a contenedores vacíos en instalaciones portuarias y zonas logísticas funcionalmente asociadas, para efectos del ejercicio de las funciones de inspección, vigilancia y control a cargo de la entidad.</w:t>
      </w:r>
    </w:p>
    <w:p w14:paraId="4F5010B8" w14:textId="77777777" w:rsidR="00EB1EDF" w:rsidRPr="000553D7" w:rsidRDefault="00EB1EDF" w:rsidP="000553D7">
      <w:pPr>
        <w:widowControl w:val="0"/>
        <w:jc w:val="both"/>
        <w:rPr>
          <w:rFonts w:cs="Arial"/>
          <w:lang w:val="es-CO"/>
        </w:rPr>
      </w:pPr>
    </w:p>
    <w:p w14:paraId="65422BBE" w14:textId="58E0F6D4" w:rsidR="00404531" w:rsidRPr="000553D7" w:rsidRDefault="000553D7" w:rsidP="000553D7">
      <w:pPr>
        <w:widowControl w:val="0"/>
        <w:jc w:val="both"/>
        <w:rPr>
          <w:rFonts w:cs="Arial"/>
          <w:lang w:val="es-CO"/>
        </w:rPr>
      </w:pPr>
      <w:r w:rsidRPr="000553D7">
        <w:rPr>
          <w:rFonts w:cs="Arial"/>
          <w:lang w:val="es-CO"/>
        </w:rPr>
        <w:t>Este documento incorpora el análisis de las observaciones de revisión interna, especialmente en materia de inspección en campo, verificación documental, sujeto destinatario de la obligación documental, focalización inicial del instrumento, materia aduanera, alcance del anexo técnico, comunicaciones de frontera competencial con ICA e INVIMA y conveniencia de contar con una secuencia funcional de aplicación que facilite la comprensión institucional del alcance del proyecto.</w:t>
      </w:r>
    </w:p>
    <w:p w14:paraId="4AEC92D9" w14:textId="77777777" w:rsidR="00EB1EDF" w:rsidRPr="000553D7" w:rsidRDefault="00EB1EDF" w:rsidP="000553D7">
      <w:pPr>
        <w:widowControl w:val="0"/>
        <w:jc w:val="both"/>
        <w:rPr>
          <w:rFonts w:cs="Arial"/>
          <w:lang w:val="es-CO"/>
        </w:rPr>
      </w:pPr>
    </w:p>
    <w:p w14:paraId="3694F922"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2. Documentos revisados y alcance del análisis</w:t>
      </w:r>
    </w:p>
    <w:p w14:paraId="220CC9EA" w14:textId="77777777" w:rsidR="00EB1EDF" w:rsidRPr="000553D7" w:rsidRDefault="00EB1EDF" w:rsidP="000553D7">
      <w:pPr>
        <w:widowControl w:val="0"/>
        <w:jc w:val="both"/>
        <w:rPr>
          <w:rFonts w:cs="Arial"/>
          <w:lang w:val="es-CO"/>
        </w:rPr>
      </w:pPr>
    </w:p>
    <w:p w14:paraId="0C26506A" w14:textId="6546D9BB" w:rsidR="00404531" w:rsidRPr="000553D7" w:rsidRDefault="000553D7" w:rsidP="000553D7">
      <w:pPr>
        <w:widowControl w:val="0"/>
        <w:jc w:val="both"/>
        <w:rPr>
          <w:rFonts w:cs="Arial"/>
          <w:lang w:val="es-CO"/>
        </w:rPr>
      </w:pPr>
      <w:r w:rsidRPr="000553D7">
        <w:rPr>
          <w:rFonts w:cs="Arial"/>
          <w:lang w:val="es-CO"/>
        </w:rPr>
        <w:t>Para la emisión del concepto se tuvieron en cuenta el proyecto de resolución, el anexo técnico, la memoria justificativa, las observaciones formuladas en la revisión interna, la reunión sostenida el 27 de mayo de 2026, los documentos de soporte del expediente y las normas que soportan la competencia de la Superintendencia de Transporte y la expedición de actos administrativos de carácter general.</w:t>
      </w:r>
    </w:p>
    <w:p w14:paraId="38F74994" w14:textId="77777777" w:rsidR="00EB1EDF" w:rsidRPr="000553D7" w:rsidRDefault="00EB1EDF" w:rsidP="000553D7">
      <w:pPr>
        <w:widowControl w:val="0"/>
        <w:jc w:val="both"/>
        <w:rPr>
          <w:rFonts w:cs="Arial"/>
          <w:lang w:val="es-CO"/>
        </w:rPr>
      </w:pPr>
    </w:p>
    <w:p w14:paraId="34E7BBCA" w14:textId="5FAADD43" w:rsidR="00404531" w:rsidRPr="000553D7" w:rsidRDefault="00000000" w:rsidP="000553D7">
      <w:pPr>
        <w:widowControl w:val="0"/>
        <w:jc w:val="both"/>
        <w:rPr>
          <w:rFonts w:cs="Arial"/>
          <w:lang w:val="es-CO"/>
        </w:rPr>
      </w:pPr>
      <w:r w:rsidRPr="000553D7">
        <w:rPr>
          <w:rFonts w:cs="Arial"/>
          <w:lang w:val="es-CO"/>
        </w:rPr>
        <w:t>La revisión queda condicionada a que el texto final sometido a firma conserve sustancialmente el objeto, alcance, límites, estructura jurídica y documentos de soporte analizados. Si se modifica de manera sustancial el ámbito, los sujetos, la exigibilidad, la herramienta o los efectos del acto, deberá actualizarse el presente concepto.</w:t>
      </w:r>
    </w:p>
    <w:p w14:paraId="69D2C08D" w14:textId="77777777" w:rsidR="00EB1EDF" w:rsidRPr="000553D7" w:rsidRDefault="00EB1EDF" w:rsidP="000553D7">
      <w:pPr>
        <w:widowControl w:val="0"/>
        <w:jc w:val="both"/>
        <w:rPr>
          <w:rFonts w:cs="Arial"/>
          <w:lang w:val="es-CO"/>
        </w:rPr>
      </w:pPr>
    </w:p>
    <w:p w14:paraId="391C0096"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3. Problema jurídico</w:t>
      </w:r>
    </w:p>
    <w:p w14:paraId="722CA31A" w14:textId="77777777" w:rsidR="00EB1EDF" w:rsidRPr="000553D7" w:rsidRDefault="00EB1EDF" w:rsidP="000553D7">
      <w:pPr>
        <w:widowControl w:val="0"/>
        <w:jc w:val="both"/>
        <w:rPr>
          <w:rFonts w:cs="Arial"/>
          <w:lang w:val="es-CO"/>
        </w:rPr>
      </w:pPr>
    </w:p>
    <w:p w14:paraId="024F49EC" w14:textId="5531CA59" w:rsidR="00404531" w:rsidRPr="000553D7" w:rsidRDefault="00000000" w:rsidP="000553D7">
      <w:pPr>
        <w:widowControl w:val="0"/>
        <w:jc w:val="both"/>
        <w:rPr>
          <w:rFonts w:cs="Arial"/>
          <w:lang w:val="es-CO"/>
        </w:rPr>
      </w:pPr>
      <w:r w:rsidRPr="000553D7">
        <w:rPr>
          <w:rFonts w:cs="Arial"/>
          <w:lang w:val="es-CO"/>
        </w:rPr>
        <w:t>El problema jurídico consiste en determinar si resulta viable que la Superintendencia de Transporte expida una resolución de carácter general para establecer condiciones mínimas de documentación, trazabilidad, conservación, disponibilidad de evidencia y verificabilidad administrativa respecto de procesos de higienización aplicados a contenedores vacíos, exclusivamente para efectos de inspección, vigilancia y control, sin regular la eficacia sanitaria, fitosanitaria, ambiental, microbiológica, de inocuidad o técnica del tratamiento aplicado.</w:t>
      </w:r>
    </w:p>
    <w:p w14:paraId="27BB48B6" w14:textId="77777777" w:rsidR="00EB1EDF" w:rsidRPr="000553D7" w:rsidRDefault="00EB1EDF" w:rsidP="000553D7">
      <w:pPr>
        <w:widowControl w:val="0"/>
        <w:jc w:val="both"/>
        <w:rPr>
          <w:rFonts w:cs="Arial"/>
          <w:lang w:val="es-CO"/>
        </w:rPr>
      </w:pPr>
    </w:p>
    <w:p w14:paraId="36D38487" w14:textId="77777777" w:rsidR="00404531" w:rsidRPr="000553D7" w:rsidRDefault="00000000" w:rsidP="000553D7">
      <w:pPr>
        <w:widowControl w:val="0"/>
        <w:jc w:val="both"/>
        <w:rPr>
          <w:rFonts w:cs="Arial"/>
          <w:lang w:val="es-CO"/>
        </w:rPr>
      </w:pPr>
      <w:r w:rsidRPr="000553D7">
        <w:rPr>
          <w:rFonts w:cs="Arial"/>
          <w:lang w:val="es-CO"/>
        </w:rPr>
        <w:t>También se analiza si la focalización en contenedores vacíos es defendible frente a la existencia de otros segmentos de carga y etapas logísticas; si la referencia a higienización puede mantenerse sin invadir la misionalidad de ICA, INVIMA u otras autoridades; y si la actuación puede distinguir válidamente entre verificación documental, revisión remota y actuación en campo.</w:t>
      </w:r>
    </w:p>
    <w:p w14:paraId="1B057A04" w14:textId="77777777" w:rsidR="00EB1EDF" w:rsidRPr="000553D7" w:rsidRDefault="00EB1EDF" w:rsidP="000553D7">
      <w:pPr>
        <w:widowControl w:val="0"/>
        <w:jc w:val="both"/>
        <w:rPr>
          <w:rFonts w:cs="Arial"/>
          <w:lang w:val="es-CO"/>
        </w:rPr>
      </w:pPr>
    </w:p>
    <w:p w14:paraId="6B9005CF"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4. Respuesta jurídica breve</w:t>
      </w:r>
    </w:p>
    <w:p w14:paraId="321EB173" w14:textId="77777777" w:rsidR="00EB1EDF" w:rsidRPr="000553D7" w:rsidRDefault="00EB1EDF" w:rsidP="000553D7">
      <w:pPr>
        <w:widowControl w:val="0"/>
        <w:jc w:val="both"/>
        <w:rPr>
          <w:rFonts w:cs="Arial"/>
          <w:lang w:val="es-CO"/>
        </w:rPr>
      </w:pPr>
    </w:p>
    <w:p w14:paraId="0F3BD415" w14:textId="3C26A898" w:rsidR="00404531" w:rsidRPr="000553D7" w:rsidRDefault="00000000" w:rsidP="000553D7">
      <w:pPr>
        <w:widowControl w:val="0"/>
        <w:jc w:val="both"/>
        <w:rPr>
          <w:rFonts w:cs="Arial"/>
          <w:lang w:val="es-CO"/>
        </w:rPr>
      </w:pPr>
      <w:r w:rsidRPr="000553D7">
        <w:rPr>
          <w:rFonts w:cs="Arial"/>
          <w:lang w:val="es-CO"/>
        </w:rPr>
        <w:t xml:space="preserve">El proyecto es jurídicamente viable, en sentido favorable condicionado, siempre que su versión final mantenga la delimitación del instrumento como mecanismo administrativo de documentación, trazabilidad, conservación, disponibilidad de evidencia y verificabilidad para efectos de inspección, </w:t>
      </w:r>
      <w:r w:rsidRPr="000553D7">
        <w:rPr>
          <w:rFonts w:cs="Arial"/>
          <w:lang w:val="es-CO"/>
        </w:rPr>
        <w:lastRenderedPageBreak/>
        <w:t>vigilancia y control.</w:t>
      </w:r>
    </w:p>
    <w:p w14:paraId="7EB6B067" w14:textId="77777777" w:rsidR="00EB1EDF" w:rsidRPr="000553D7" w:rsidRDefault="00EB1EDF" w:rsidP="000553D7">
      <w:pPr>
        <w:widowControl w:val="0"/>
        <w:jc w:val="both"/>
        <w:rPr>
          <w:rFonts w:cs="Arial"/>
          <w:lang w:val="es-CO"/>
        </w:rPr>
      </w:pPr>
    </w:p>
    <w:p w14:paraId="0543E31A" w14:textId="2821D9CA" w:rsidR="00404531" w:rsidRPr="000553D7" w:rsidRDefault="000553D7" w:rsidP="000553D7">
      <w:pPr>
        <w:widowControl w:val="0"/>
        <w:jc w:val="both"/>
        <w:rPr>
          <w:rFonts w:cs="Arial"/>
          <w:lang w:val="es-CO"/>
        </w:rPr>
      </w:pPr>
      <w:r w:rsidRPr="000553D7">
        <w:rPr>
          <w:rFonts w:cs="Arial"/>
          <w:lang w:val="es-CO"/>
        </w:rPr>
        <w:t>La viabilidad se refuerza en la medida en que el texto final incorpore de manera expresa los ajustes derivados de la revisión interna adelantada por la Superintendencia de Transporte: no presentar el proyecto como metodología de higienización, justificar la primera fase en contenedores vacíos, excluir cargas, mercancías, operaciones aduaneras y etapas logísticas integrales, precisar sujetos bajo IVC y roles documentales, diferenciar visita en campo de revisión documental y aclarar que las comunicaciones a ICA e INVIMA son de frontera competencial y no de aprobación.</w:t>
      </w:r>
    </w:p>
    <w:p w14:paraId="591F9645" w14:textId="77777777" w:rsidR="00EB1EDF" w:rsidRPr="000553D7" w:rsidRDefault="00EB1EDF" w:rsidP="000553D7">
      <w:pPr>
        <w:widowControl w:val="0"/>
        <w:jc w:val="both"/>
        <w:rPr>
          <w:rFonts w:cs="Arial"/>
          <w:lang w:val="es-CO"/>
        </w:rPr>
      </w:pPr>
    </w:p>
    <w:p w14:paraId="186C1C23"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5. Competencia de la Superintendencia de Transporte</w:t>
      </w:r>
    </w:p>
    <w:p w14:paraId="1C0CCC03" w14:textId="77777777" w:rsidR="00EB1EDF" w:rsidRPr="000553D7" w:rsidRDefault="00EB1EDF" w:rsidP="000553D7">
      <w:pPr>
        <w:widowControl w:val="0"/>
        <w:jc w:val="both"/>
        <w:rPr>
          <w:rFonts w:cs="Arial"/>
          <w:lang w:val="es-CO"/>
        </w:rPr>
      </w:pPr>
    </w:p>
    <w:p w14:paraId="06802D54" w14:textId="2BD4C16A" w:rsidR="00404531" w:rsidRPr="000553D7" w:rsidRDefault="00000000" w:rsidP="000553D7">
      <w:pPr>
        <w:widowControl w:val="0"/>
        <w:jc w:val="both"/>
        <w:rPr>
          <w:rFonts w:cs="Arial"/>
          <w:lang w:val="es-CO"/>
        </w:rPr>
      </w:pPr>
      <w:r w:rsidRPr="000553D7">
        <w:rPr>
          <w:rFonts w:cs="Arial"/>
          <w:lang w:val="es-CO"/>
        </w:rPr>
        <w:t>La competencia de la Superintendencia de Transporte se soporta en sus funciones de inspección, vigilancia y control sobre sujetos y actividades del sector transporte, infraestructura, puertos, concesiones, servicios conexos y actividades sometidas a supervisión. En ese marco, la entidad puede adoptar instrumentos administrativos, metodologías, procedimientos, requerimientos de información, visitas y herramientas necesarias para hacer operable la función de IVC.</w:t>
      </w:r>
    </w:p>
    <w:p w14:paraId="11D34838" w14:textId="77777777" w:rsidR="00EB1EDF" w:rsidRPr="000553D7" w:rsidRDefault="00EB1EDF" w:rsidP="000553D7">
      <w:pPr>
        <w:widowControl w:val="0"/>
        <w:jc w:val="both"/>
        <w:rPr>
          <w:rFonts w:cs="Arial"/>
          <w:lang w:val="es-CO"/>
        </w:rPr>
      </w:pPr>
    </w:p>
    <w:p w14:paraId="7E57B558" w14:textId="77777777" w:rsidR="00404531" w:rsidRPr="000553D7" w:rsidRDefault="00000000" w:rsidP="000553D7">
      <w:pPr>
        <w:widowControl w:val="0"/>
        <w:jc w:val="both"/>
        <w:rPr>
          <w:rFonts w:cs="Arial"/>
          <w:lang w:val="es-CO"/>
        </w:rPr>
      </w:pPr>
      <w:r w:rsidRPr="000553D7">
        <w:rPr>
          <w:rFonts w:cs="Arial"/>
          <w:lang w:val="es-CO"/>
        </w:rPr>
        <w:t>La competencia permite exigir documentación, trazabilidad, conservación, disponibilidad de evidencia y verificabilidad administrativa respecto de procesos vinculados funcionalmente con la operación portuaria o logística inspeccionada. Sin embargo, no habilita a regular, validar, certificar, homologar, avalar o calificar la eficacia sanitaria, fitosanitaria, ambiental, microbiológica, de inocuidad o técnica intrínseca del tratamiento aplicado.</w:t>
      </w:r>
    </w:p>
    <w:p w14:paraId="460ECFAD" w14:textId="77777777" w:rsidR="00EB1EDF" w:rsidRPr="000553D7" w:rsidRDefault="00EB1EDF" w:rsidP="000553D7">
      <w:pPr>
        <w:widowControl w:val="0"/>
        <w:jc w:val="both"/>
        <w:rPr>
          <w:rFonts w:cs="Arial"/>
          <w:lang w:val="es-CO"/>
        </w:rPr>
      </w:pPr>
    </w:p>
    <w:p w14:paraId="05D4FC44" w14:textId="77777777" w:rsidR="00404531" w:rsidRPr="000553D7" w:rsidRDefault="00000000" w:rsidP="000553D7">
      <w:pPr>
        <w:widowControl w:val="0"/>
        <w:jc w:val="both"/>
        <w:rPr>
          <w:rFonts w:cs="Arial"/>
          <w:lang w:val="es-CO"/>
        </w:rPr>
      </w:pPr>
      <w:r w:rsidRPr="000553D7">
        <w:rPr>
          <w:rFonts w:cs="Arial"/>
          <w:lang w:val="es-CO"/>
        </w:rPr>
        <w:t>Por tanto, la justificación jurídicamente defendible no consiste en regular la higienización como actividad sanitaria o fitosanitaria, sino en ordenar la actuación de IVC de la Superintendencia sobre evidencia documental asociada a una práctica que ocurre o se documenta en el entorno portuario.</w:t>
      </w:r>
    </w:p>
    <w:p w14:paraId="1C7ED651" w14:textId="77777777" w:rsidR="00EB1EDF" w:rsidRPr="000553D7" w:rsidRDefault="00EB1EDF" w:rsidP="000553D7">
      <w:pPr>
        <w:widowControl w:val="0"/>
        <w:jc w:val="both"/>
        <w:rPr>
          <w:rFonts w:cs="Arial"/>
          <w:lang w:val="es-CO"/>
        </w:rPr>
      </w:pPr>
    </w:p>
    <w:p w14:paraId="56DE6397"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6. Viabilidad del vehículo jurídico seleccionado</w:t>
      </w:r>
    </w:p>
    <w:p w14:paraId="53281596" w14:textId="77777777" w:rsidR="00EB1EDF" w:rsidRPr="000553D7" w:rsidRDefault="00EB1EDF" w:rsidP="000553D7">
      <w:pPr>
        <w:widowControl w:val="0"/>
        <w:jc w:val="both"/>
        <w:rPr>
          <w:rFonts w:cs="Arial"/>
          <w:lang w:val="es-CO"/>
        </w:rPr>
      </w:pPr>
    </w:p>
    <w:p w14:paraId="2C9F7C1C" w14:textId="48F0A649" w:rsidR="00404531" w:rsidRPr="000553D7" w:rsidRDefault="00000000" w:rsidP="000553D7">
      <w:pPr>
        <w:widowControl w:val="0"/>
        <w:jc w:val="both"/>
        <w:rPr>
          <w:rFonts w:cs="Arial"/>
          <w:lang w:val="es-CO"/>
        </w:rPr>
      </w:pPr>
      <w:r w:rsidRPr="000553D7">
        <w:rPr>
          <w:rFonts w:cs="Arial"/>
          <w:lang w:val="es-CO"/>
        </w:rPr>
        <w:t>El vehículo de resolución de carácter general resulta viable porque el proyecto pretende establecer condiciones generales de documentación, trazabilidad, conservación, disponibilidad de evidencia y verificabilidad administrativa aplicables a sujetos sometidos a inspección, vigilancia y control de la Superintendencia.</w:t>
      </w:r>
    </w:p>
    <w:p w14:paraId="42C24B27" w14:textId="77777777" w:rsidR="00EB1EDF" w:rsidRPr="000553D7" w:rsidRDefault="00EB1EDF" w:rsidP="000553D7">
      <w:pPr>
        <w:widowControl w:val="0"/>
        <w:jc w:val="both"/>
        <w:rPr>
          <w:rFonts w:cs="Arial"/>
          <w:lang w:val="es-CO"/>
        </w:rPr>
      </w:pPr>
    </w:p>
    <w:p w14:paraId="7D69195B" w14:textId="43D0F7E1" w:rsidR="00404531" w:rsidRPr="000553D7" w:rsidRDefault="00000000" w:rsidP="000553D7">
      <w:pPr>
        <w:widowControl w:val="0"/>
        <w:jc w:val="both"/>
        <w:rPr>
          <w:rFonts w:cs="Arial"/>
          <w:lang w:val="es-CO"/>
        </w:rPr>
      </w:pPr>
      <w:r w:rsidRPr="000553D7">
        <w:rPr>
          <w:rFonts w:cs="Arial"/>
          <w:lang w:val="es-CO"/>
        </w:rPr>
        <w:t>La resolución resulta más adecuada que una guía o circular no vinculante cuando se pretende fijar condiciones mínimas exigibles para efectos de IVC. No obstante, la resolución no puede convertirse en regulación técnica del proceso, no puede crear autorizaciones o certificaciones previas, no puede imponer tecnologías o métodos, no puede establecer sanciones autónomas y no puede trasladar al anexo o a la herramienta la creación de obligaciones no previstas en el acto principal.</w:t>
      </w:r>
    </w:p>
    <w:p w14:paraId="0A1E1528" w14:textId="77777777" w:rsidR="00EB1EDF" w:rsidRPr="000553D7" w:rsidRDefault="00EB1EDF" w:rsidP="000553D7">
      <w:pPr>
        <w:widowControl w:val="0"/>
        <w:jc w:val="both"/>
        <w:rPr>
          <w:rFonts w:cs="Arial"/>
          <w:lang w:val="es-CO"/>
        </w:rPr>
      </w:pPr>
    </w:p>
    <w:p w14:paraId="43FEBA6F"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7. Focalización inicial y no arbitrariedad</w:t>
      </w:r>
    </w:p>
    <w:p w14:paraId="0C546385" w14:textId="77777777" w:rsidR="00EB1EDF" w:rsidRPr="000553D7" w:rsidRDefault="00EB1EDF" w:rsidP="000553D7">
      <w:pPr>
        <w:widowControl w:val="0"/>
        <w:jc w:val="both"/>
        <w:rPr>
          <w:rFonts w:cs="Arial"/>
          <w:lang w:val="es-CO"/>
        </w:rPr>
      </w:pPr>
    </w:p>
    <w:p w14:paraId="1E431043" w14:textId="3F1E66A3" w:rsidR="00404531" w:rsidRPr="000553D7" w:rsidRDefault="00000000" w:rsidP="000553D7">
      <w:pPr>
        <w:widowControl w:val="0"/>
        <w:jc w:val="both"/>
        <w:rPr>
          <w:rFonts w:cs="Arial"/>
          <w:lang w:val="es-CO"/>
        </w:rPr>
      </w:pPr>
      <w:r w:rsidRPr="000553D7">
        <w:rPr>
          <w:rFonts w:cs="Arial"/>
          <w:lang w:val="es-CO"/>
        </w:rPr>
        <w:t>La focalización inicial en contenedores vacíos es jurídicamente defendible si se motiva como primera fase de prudencia regulatoria, proporcionalidad y gradualidad. La Administración no está obligada a regular simultáneamente todos los segmentos de carga o todas las etapas logísticas; puede priorizar una práctica específica si existe razón objetiva, necesidad de trazabilidad y delimitación suficiente.</w:t>
      </w:r>
    </w:p>
    <w:p w14:paraId="255E7FC4" w14:textId="77777777" w:rsidR="00EB1EDF" w:rsidRPr="000553D7" w:rsidRDefault="00EB1EDF" w:rsidP="000553D7">
      <w:pPr>
        <w:widowControl w:val="0"/>
        <w:jc w:val="both"/>
        <w:rPr>
          <w:rFonts w:cs="Arial"/>
          <w:lang w:val="es-CO"/>
        </w:rPr>
      </w:pPr>
    </w:p>
    <w:p w14:paraId="0DD3AF50" w14:textId="77777777" w:rsidR="00404531" w:rsidRPr="000553D7" w:rsidRDefault="00000000" w:rsidP="000553D7">
      <w:pPr>
        <w:widowControl w:val="0"/>
        <w:jc w:val="both"/>
        <w:rPr>
          <w:rFonts w:cs="Arial"/>
          <w:lang w:val="es-CO"/>
        </w:rPr>
      </w:pPr>
      <w:r w:rsidRPr="000553D7">
        <w:rPr>
          <w:rFonts w:cs="Arial"/>
          <w:lang w:val="es-CO"/>
        </w:rPr>
        <w:t xml:space="preserve">El proyecto no regula una carga, mercancía ni etapa logística integral. Regula condiciones mínimas de documentación y verificabilidad administrativa respecto de un proceso específico aplicado a contenedores vacíos. Cualquier ampliación futura hacia mercancías, cargas, contenedores llenos, tratamientos especializados o etapas logísticas deberá ser objeto de análisis jurídico, técnico, </w:t>
      </w:r>
      <w:r w:rsidRPr="000553D7">
        <w:rPr>
          <w:rFonts w:cs="Arial"/>
          <w:lang w:val="es-CO"/>
        </w:rPr>
        <w:lastRenderedPageBreak/>
        <w:t>competencial e impacto independiente.</w:t>
      </w:r>
    </w:p>
    <w:p w14:paraId="1768BF59" w14:textId="77777777" w:rsidR="00EB1EDF" w:rsidRPr="000553D7" w:rsidRDefault="00EB1EDF" w:rsidP="000553D7">
      <w:pPr>
        <w:widowControl w:val="0"/>
        <w:jc w:val="both"/>
        <w:rPr>
          <w:rFonts w:cs="Arial"/>
          <w:lang w:val="es-CO"/>
        </w:rPr>
      </w:pPr>
    </w:p>
    <w:p w14:paraId="0CF942CB"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8. Delimitación material y no invasión de competencias</w:t>
      </w:r>
    </w:p>
    <w:p w14:paraId="0815946D" w14:textId="77777777" w:rsidR="00EB1EDF" w:rsidRPr="000553D7" w:rsidRDefault="00EB1EDF" w:rsidP="000553D7">
      <w:pPr>
        <w:widowControl w:val="0"/>
        <w:jc w:val="both"/>
        <w:rPr>
          <w:rFonts w:cs="Arial"/>
          <w:lang w:val="es-CO"/>
        </w:rPr>
      </w:pPr>
    </w:p>
    <w:p w14:paraId="51841819" w14:textId="28816BE9" w:rsidR="00404531" w:rsidRPr="000553D7" w:rsidRDefault="00000000" w:rsidP="000553D7">
      <w:pPr>
        <w:widowControl w:val="0"/>
        <w:jc w:val="both"/>
        <w:rPr>
          <w:rFonts w:cs="Arial"/>
          <w:lang w:val="es-CO"/>
        </w:rPr>
      </w:pPr>
      <w:r w:rsidRPr="000553D7">
        <w:rPr>
          <w:rFonts w:cs="Arial"/>
          <w:lang w:val="es-CO"/>
        </w:rPr>
        <w:t>El proyecto se delimita a procesos de higienización aplicados a contenedores vacíos que se ejecuten o documenten en instalaciones portuarias o zonas logísticas funcionalmente asociadas, siempre que exista relación directa, verificable y documentada con la operación portuaria inspeccionada y con sujetos sometidos a la competencia de la Superintendencia.</w:t>
      </w:r>
    </w:p>
    <w:p w14:paraId="78BF5135" w14:textId="77777777" w:rsidR="00EB1EDF" w:rsidRPr="000553D7" w:rsidRDefault="00EB1EDF" w:rsidP="000553D7">
      <w:pPr>
        <w:widowControl w:val="0"/>
        <w:jc w:val="both"/>
        <w:rPr>
          <w:rFonts w:cs="Arial"/>
          <w:lang w:val="es-CO"/>
        </w:rPr>
      </w:pPr>
    </w:p>
    <w:p w14:paraId="539D5351" w14:textId="77777777" w:rsidR="00404531" w:rsidRPr="000553D7" w:rsidRDefault="00000000" w:rsidP="000553D7">
      <w:pPr>
        <w:widowControl w:val="0"/>
        <w:jc w:val="both"/>
        <w:rPr>
          <w:rFonts w:cs="Arial"/>
          <w:lang w:val="es-CO"/>
        </w:rPr>
      </w:pPr>
      <w:r w:rsidRPr="000553D7">
        <w:rPr>
          <w:rFonts w:cs="Arial"/>
          <w:lang w:val="es-CO"/>
        </w:rPr>
        <w:t>La exclusión de contenedores llenos, mercancías, cargas, operaciones aduaneras, tratamientos sanitarios o fitosanitarios, tratamientos cuarentenarios, inocuidad, bioseguridad, control de plagas, salud pública y materias de otras autoridades es jurídicamente necesaria. Esta exclusión debe permanecer en la resolución, en el anexo técnico, en la herramienta operativa y en las comunicaciones institucionales.</w:t>
      </w:r>
    </w:p>
    <w:p w14:paraId="07FC91D8" w14:textId="77777777" w:rsidR="00EB1EDF" w:rsidRPr="000553D7" w:rsidRDefault="00EB1EDF" w:rsidP="000553D7">
      <w:pPr>
        <w:widowControl w:val="0"/>
        <w:jc w:val="both"/>
        <w:rPr>
          <w:rFonts w:cs="Arial"/>
          <w:lang w:val="es-CO"/>
        </w:rPr>
      </w:pPr>
    </w:p>
    <w:p w14:paraId="55923B44"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9. Materia aduanera</w:t>
      </w:r>
    </w:p>
    <w:p w14:paraId="152C4A34" w14:textId="77777777" w:rsidR="00EB1EDF" w:rsidRPr="000553D7" w:rsidRDefault="00EB1EDF" w:rsidP="000553D7">
      <w:pPr>
        <w:widowControl w:val="0"/>
        <w:jc w:val="both"/>
        <w:rPr>
          <w:rFonts w:cs="Arial"/>
          <w:lang w:val="es-CO"/>
        </w:rPr>
      </w:pPr>
    </w:p>
    <w:p w14:paraId="65F88EAC" w14:textId="7F73B679" w:rsidR="00404531" w:rsidRPr="000553D7" w:rsidRDefault="00000000" w:rsidP="000553D7">
      <w:pPr>
        <w:widowControl w:val="0"/>
        <w:jc w:val="both"/>
        <w:rPr>
          <w:rFonts w:cs="Arial"/>
          <w:lang w:val="es-CO"/>
        </w:rPr>
      </w:pPr>
      <w:r w:rsidRPr="000553D7">
        <w:rPr>
          <w:rFonts w:cs="Arial"/>
          <w:lang w:val="es-CO"/>
        </w:rPr>
        <w:t>La definición de contenedor vacío y el cierre documental deben formularse sin alterar, sustituir o desplazar definiciones, efectos, procedimientos o competencias del régimen aduanero. El cierre documental no equivale a levante, autorización, nacionalización, liberación aduanera, disposición de mercancía, autorización comercial, liberación operativa ni decisión propia de la autoridad aduanera.</w:t>
      </w:r>
    </w:p>
    <w:p w14:paraId="05667F4A" w14:textId="77777777" w:rsidR="00EB1EDF" w:rsidRPr="000553D7" w:rsidRDefault="00EB1EDF" w:rsidP="000553D7">
      <w:pPr>
        <w:widowControl w:val="0"/>
        <w:jc w:val="both"/>
        <w:rPr>
          <w:rFonts w:cs="Arial"/>
          <w:lang w:val="es-CO"/>
        </w:rPr>
      </w:pPr>
    </w:p>
    <w:p w14:paraId="0B8636B4" w14:textId="77777777" w:rsidR="00404531" w:rsidRPr="000553D7" w:rsidRDefault="00000000" w:rsidP="000553D7">
      <w:pPr>
        <w:widowControl w:val="0"/>
        <w:jc w:val="both"/>
        <w:rPr>
          <w:rFonts w:cs="Arial"/>
          <w:lang w:val="es-CO"/>
        </w:rPr>
      </w:pPr>
      <w:r w:rsidRPr="000553D7">
        <w:rPr>
          <w:rFonts w:cs="Arial"/>
          <w:lang w:val="es-CO"/>
        </w:rPr>
        <w:t>Si en desarrollo de una actuación de IVC se identifica información con posible relevancia aduanera, la Superintendencia podrá comunicar o remitir dicha información a la autoridad competente sin prejuzgar, calificar técnicamente ni emitir pronunciamiento de fondo sobre la materia.</w:t>
      </w:r>
    </w:p>
    <w:p w14:paraId="24623AD2" w14:textId="77777777" w:rsidR="00EB1EDF" w:rsidRPr="000553D7" w:rsidRDefault="00EB1EDF" w:rsidP="000553D7">
      <w:pPr>
        <w:widowControl w:val="0"/>
        <w:jc w:val="both"/>
        <w:rPr>
          <w:rFonts w:cs="Arial"/>
          <w:lang w:val="es-CO"/>
        </w:rPr>
      </w:pPr>
    </w:p>
    <w:p w14:paraId="36ED3F2E"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10. Actuaciones en campo, verificación documental y funcionario competente</w:t>
      </w:r>
    </w:p>
    <w:p w14:paraId="67D673DA" w14:textId="77777777" w:rsidR="00EB1EDF" w:rsidRPr="000553D7" w:rsidRDefault="00EB1EDF" w:rsidP="000553D7">
      <w:pPr>
        <w:widowControl w:val="0"/>
        <w:jc w:val="both"/>
        <w:rPr>
          <w:rFonts w:cs="Arial"/>
          <w:lang w:val="es-CO"/>
        </w:rPr>
      </w:pPr>
    </w:p>
    <w:p w14:paraId="469D8C7F" w14:textId="677753CB" w:rsidR="00404531" w:rsidRPr="000553D7" w:rsidRDefault="00000000" w:rsidP="000553D7">
      <w:pPr>
        <w:widowControl w:val="0"/>
        <w:jc w:val="both"/>
        <w:rPr>
          <w:rFonts w:cs="Arial"/>
          <w:lang w:val="es-CO"/>
        </w:rPr>
      </w:pPr>
      <w:r w:rsidRPr="000553D7">
        <w:rPr>
          <w:rFonts w:cs="Arial"/>
          <w:lang w:val="es-CO"/>
        </w:rPr>
        <w:t>La precisión relacionada con la necesidad de funcionario en campo debe incorporarse como criterio de blindaje operativo. Cuando exista visita o actuación en campo, esta deberá ser dirigida, practicada o asumida institucionalmente por funcionarios competentes o por la comisión que designe la entidad.</w:t>
      </w:r>
    </w:p>
    <w:p w14:paraId="65F2AC0A" w14:textId="77777777" w:rsidR="00EB1EDF" w:rsidRPr="000553D7" w:rsidRDefault="00EB1EDF" w:rsidP="000553D7">
      <w:pPr>
        <w:widowControl w:val="0"/>
        <w:jc w:val="both"/>
        <w:rPr>
          <w:rFonts w:cs="Arial"/>
          <w:lang w:val="es-CO"/>
        </w:rPr>
      </w:pPr>
    </w:p>
    <w:p w14:paraId="2523B43D" w14:textId="77777777" w:rsidR="00404531" w:rsidRPr="000553D7" w:rsidRDefault="00000000" w:rsidP="000553D7">
      <w:pPr>
        <w:widowControl w:val="0"/>
        <w:jc w:val="both"/>
        <w:rPr>
          <w:rFonts w:cs="Arial"/>
          <w:lang w:val="es-CO"/>
        </w:rPr>
      </w:pPr>
      <w:r w:rsidRPr="000553D7">
        <w:rPr>
          <w:rFonts w:cs="Arial"/>
          <w:lang w:val="es-CO"/>
        </w:rPr>
        <w:t>Sin embargo, no toda verificación exige presencia física. El proyecto puede admitir revisión documental, revisión remota, requerimientos de información, línea base, verificación preventiva y seguimiento. En todos los casos, la valoración administrativa, la formulación de hallazgos y cualquier decisión posterior corresponden exclusivamente a la Superintendencia.</w:t>
      </w:r>
    </w:p>
    <w:p w14:paraId="1CC4E9F4" w14:textId="77777777" w:rsidR="00EB1EDF" w:rsidRPr="000553D7" w:rsidRDefault="00EB1EDF" w:rsidP="000553D7">
      <w:pPr>
        <w:widowControl w:val="0"/>
        <w:jc w:val="both"/>
        <w:rPr>
          <w:rFonts w:cs="Arial"/>
          <w:lang w:val="es-CO"/>
        </w:rPr>
      </w:pPr>
    </w:p>
    <w:p w14:paraId="65C6424D"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11. Apoyo técnico-operativo</w:t>
      </w:r>
    </w:p>
    <w:p w14:paraId="1CC851E1" w14:textId="77777777" w:rsidR="00EB1EDF" w:rsidRPr="000553D7" w:rsidRDefault="00EB1EDF" w:rsidP="000553D7">
      <w:pPr>
        <w:widowControl w:val="0"/>
        <w:jc w:val="both"/>
        <w:rPr>
          <w:rFonts w:cs="Arial"/>
          <w:lang w:val="es-CO"/>
        </w:rPr>
      </w:pPr>
    </w:p>
    <w:p w14:paraId="01EA8261" w14:textId="494FFDCC" w:rsidR="00404531" w:rsidRPr="000553D7" w:rsidRDefault="00000000" w:rsidP="000553D7">
      <w:pPr>
        <w:widowControl w:val="0"/>
        <w:jc w:val="both"/>
        <w:rPr>
          <w:rFonts w:cs="Arial"/>
          <w:lang w:val="es-CO"/>
        </w:rPr>
      </w:pPr>
      <w:r w:rsidRPr="000553D7">
        <w:rPr>
          <w:rFonts w:cs="Arial"/>
          <w:lang w:val="es-CO"/>
        </w:rPr>
        <w:t>El apoyo técnico-operativo externo, cuando exista, es viable solo si tiene carácter material, instrumental y subordinado. No puede sustituir la función administrativa, formular decisiones, certificar resultados, validar tratamientos, aprobar o rechazar procesos, sancionar, liberar contenedores ni emitir pronunciamientos de autoridad.</w:t>
      </w:r>
    </w:p>
    <w:p w14:paraId="4CDCB126" w14:textId="77777777" w:rsidR="00EB1EDF" w:rsidRPr="000553D7" w:rsidRDefault="00EB1EDF" w:rsidP="000553D7">
      <w:pPr>
        <w:widowControl w:val="0"/>
        <w:jc w:val="both"/>
        <w:rPr>
          <w:rFonts w:cs="Arial"/>
          <w:lang w:val="es-CO"/>
        </w:rPr>
      </w:pPr>
    </w:p>
    <w:p w14:paraId="1C988720"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12. No creación de trámite</w:t>
      </w:r>
    </w:p>
    <w:p w14:paraId="0A2CEFF6" w14:textId="77777777" w:rsidR="00EB1EDF" w:rsidRPr="000553D7" w:rsidRDefault="00EB1EDF" w:rsidP="000553D7">
      <w:pPr>
        <w:widowControl w:val="0"/>
        <w:jc w:val="both"/>
        <w:rPr>
          <w:rFonts w:cs="Arial"/>
          <w:lang w:val="es-CO"/>
        </w:rPr>
      </w:pPr>
    </w:p>
    <w:p w14:paraId="22849FD6" w14:textId="4984E408" w:rsidR="00404531" w:rsidRPr="000553D7" w:rsidRDefault="00000000" w:rsidP="000553D7">
      <w:pPr>
        <w:widowControl w:val="0"/>
        <w:jc w:val="both"/>
        <w:rPr>
          <w:rFonts w:cs="Arial"/>
          <w:lang w:val="es-CO"/>
        </w:rPr>
      </w:pPr>
      <w:r w:rsidRPr="000553D7">
        <w:rPr>
          <w:rFonts w:cs="Arial"/>
          <w:lang w:val="es-CO"/>
        </w:rPr>
        <w:t>El proyecto no debe crear trámite administrativo nuevo, autorización, permiso, licencia, registro habilitante, inscripción obligatoria, certificación, aprobación previa, constancia o procedimiento administrativo que deba surtirse ante la Superintendencia como condición para ejecutar procesos de higienización de contenedores vacíos.</w:t>
      </w:r>
    </w:p>
    <w:p w14:paraId="5054FDA5" w14:textId="77777777" w:rsidR="00EB1EDF" w:rsidRPr="000553D7" w:rsidRDefault="00EB1EDF" w:rsidP="000553D7">
      <w:pPr>
        <w:widowControl w:val="0"/>
        <w:jc w:val="both"/>
        <w:rPr>
          <w:rFonts w:cs="Arial"/>
          <w:lang w:val="es-CO"/>
        </w:rPr>
      </w:pPr>
    </w:p>
    <w:p w14:paraId="54F48A9D" w14:textId="78FE56CD" w:rsidR="00404531" w:rsidRPr="000553D7" w:rsidRDefault="00000000" w:rsidP="000553D7">
      <w:pPr>
        <w:widowControl w:val="0"/>
        <w:jc w:val="both"/>
        <w:rPr>
          <w:rFonts w:cs="Arial"/>
          <w:lang w:val="es-CO"/>
        </w:rPr>
      </w:pPr>
      <w:r w:rsidRPr="000553D7">
        <w:rPr>
          <w:rFonts w:cs="Arial"/>
          <w:lang w:val="es-CO"/>
        </w:rPr>
        <w:lastRenderedPageBreak/>
        <w:t>La conservación y presentación de evidencia ante requerimientos o actuaciones de IVC corresponde a un deber documental asociado a la supervisión administrativa, no a un trámite previo.</w:t>
      </w:r>
    </w:p>
    <w:p w14:paraId="1E4F6B8A" w14:textId="77777777" w:rsidR="00EB1EDF" w:rsidRPr="000553D7" w:rsidRDefault="00EB1EDF" w:rsidP="000553D7">
      <w:pPr>
        <w:widowControl w:val="0"/>
        <w:jc w:val="both"/>
        <w:rPr>
          <w:rFonts w:cs="Arial"/>
          <w:lang w:val="es-CO"/>
        </w:rPr>
      </w:pPr>
    </w:p>
    <w:p w14:paraId="447699E1"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13. No configuración de reglamento técnico</w:t>
      </w:r>
    </w:p>
    <w:p w14:paraId="317F8A41" w14:textId="77777777" w:rsidR="00EB1EDF" w:rsidRPr="000553D7" w:rsidRDefault="00EB1EDF" w:rsidP="000553D7">
      <w:pPr>
        <w:widowControl w:val="0"/>
        <w:jc w:val="both"/>
        <w:rPr>
          <w:rFonts w:cs="Arial"/>
          <w:lang w:val="es-CO"/>
        </w:rPr>
      </w:pPr>
    </w:p>
    <w:p w14:paraId="14FA1559" w14:textId="16C5ED32" w:rsidR="00404531" w:rsidRPr="000553D7" w:rsidRDefault="000553D7" w:rsidP="000553D7">
      <w:pPr>
        <w:widowControl w:val="0"/>
        <w:jc w:val="both"/>
        <w:rPr>
          <w:rFonts w:cs="Arial"/>
          <w:lang w:val="es-CO"/>
        </w:rPr>
      </w:pPr>
      <w:r w:rsidRPr="000553D7">
        <w:rPr>
          <w:rFonts w:cs="Arial"/>
          <w:lang w:val="es-CO"/>
        </w:rPr>
        <w:t>El proyecto no configura reglamento técnico en la medida en que conserve su alcance administrativo y documental, sin establecer características técnicas obligatorias de productos, procesos o métodos de producción, sin imponer parámetros de desempeño, sin exigir resultados de eficacia, sin crear procedimientos de evaluación de la conformidad y sin condicionar la operación al cumplimiento de especificaciones técnicas cerradas.</w:t>
      </w:r>
    </w:p>
    <w:p w14:paraId="46F67D81" w14:textId="77777777" w:rsidR="00EB1EDF" w:rsidRPr="000553D7" w:rsidRDefault="00EB1EDF" w:rsidP="000553D7">
      <w:pPr>
        <w:widowControl w:val="0"/>
        <w:jc w:val="both"/>
        <w:rPr>
          <w:rFonts w:cs="Arial"/>
          <w:lang w:val="es-CO"/>
        </w:rPr>
      </w:pPr>
    </w:p>
    <w:p w14:paraId="5911AB2E" w14:textId="77777777" w:rsidR="00404531" w:rsidRPr="000553D7" w:rsidRDefault="00000000" w:rsidP="000553D7">
      <w:pPr>
        <w:widowControl w:val="0"/>
        <w:jc w:val="both"/>
        <w:rPr>
          <w:rFonts w:cs="Arial"/>
          <w:lang w:val="es-CO"/>
        </w:rPr>
      </w:pPr>
      <w:r w:rsidRPr="000553D7">
        <w:rPr>
          <w:rFonts w:cs="Arial"/>
          <w:lang w:val="es-CO"/>
        </w:rPr>
        <w:t>El riesgo se materializaría si la resolución, el anexo o la herramienta exigieran tecnologías específicas, sustancias determinadas, métodos obligatorios, parámetros de eficacia sanitaria, fitosanitaria, ambiental, microbiológica o de inocuidad, ensayos, certificaciones, homologaciones o resultados técnicos obligatorios. Por ello, la revisión final debe mantener estrictamente el lenguaje de verificabilidad administrativa.</w:t>
      </w:r>
    </w:p>
    <w:p w14:paraId="32805A6D" w14:textId="77777777" w:rsidR="00EB1EDF" w:rsidRPr="000553D7" w:rsidRDefault="00EB1EDF" w:rsidP="000553D7">
      <w:pPr>
        <w:widowControl w:val="0"/>
        <w:jc w:val="both"/>
        <w:rPr>
          <w:rFonts w:cs="Arial"/>
          <w:lang w:val="es-CO"/>
        </w:rPr>
      </w:pPr>
    </w:p>
    <w:p w14:paraId="15E0F83A"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14. Publicidad, consulta, agenda regulatoria y observaciones</w:t>
      </w:r>
    </w:p>
    <w:p w14:paraId="71A3202F" w14:textId="77777777" w:rsidR="00EB1EDF" w:rsidRPr="000553D7" w:rsidRDefault="00EB1EDF" w:rsidP="000553D7">
      <w:pPr>
        <w:widowControl w:val="0"/>
        <w:jc w:val="both"/>
        <w:rPr>
          <w:rFonts w:cs="Arial"/>
          <w:lang w:val="es-CO"/>
        </w:rPr>
      </w:pPr>
    </w:p>
    <w:p w14:paraId="729F8DDA" w14:textId="51B6ECB1" w:rsidR="00404531" w:rsidRPr="000553D7" w:rsidRDefault="00000000" w:rsidP="000553D7">
      <w:pPr>
        <w:widowControl w:val="0"/>
        <w:jc w:val="both"/>
        <w:rPr>
          <w:rFonts w:cs="Arial"/>
          <w:lang w:val="es-CO"/>
        </w:rPr>
      </w:pPr>
      <w:r w:rsidRPr="000553D7">
        <w:rPr>
          <w:rFonts w:cs="Arial"/>
          <w:lang w:val="es-CO"/>
        </w:rPr>
        <w:t>Antes de la expedición del acto administrativo deberá verificarse el cumplimiento de las reglas de publicidad, consulta, participación ciudadana, agenda regulatoria y gestión de observaciones que resulten aplicables. Deberá establecerse si el proyecto tiene naturaleza de proyecto específico de regulación de carácter general, si debe incorporarse en agenda regulatoria, si debe publicarse para comentarios, cuál debe ser el término razonable, si procede informe de observaciones y respuestas y si existen consultas específicas obligatorias.</w:t>
      </w:r>
    </w:p>
    <w:p w14:paraId="5502045D" w14:textId="77777777" w:rsidR="00EB1EDF" w:rsidRPr="000553D7" w:rsidRDefault="00EB1EDF" w:rsidP="000553D7">
      <w:pPr>
        <w:widowControl w:val="0"/>
        <w:jc w:val="both"/>
        <w:rPr>
          <w:rFonts w:cs="Arial"/>
          <w:lang w:val="es-CO"/>
        </w:rPr>
      </w:pPr>
    </w:p>
    <w:p w14:paraId="6E11DAA8" w14:textId="0119C75E" w:rsidR="00404531" w:rsidRPr="000553D7" w:rsidRDefault="00000000" w:rsidP="000553D7">
      <w:pPr>
        <w:widowControl w:val="0"/>
        <w:jc w:val="both"/>
        <w:rPr>
          <w:rFonts w:cs="Arial"/>
          <w:lang w:val="es-CO"/>
        </w:rPr>
      </w:pPr>
      <w:r w:rsidRPr="000553D7">
        <w:rPr>
          <w:rFonts w:cs="Arial"/>
          <w:lang w:val="es-CO"/>
        </w:rPr>
        <w:t>La falta de publicación del proyecto, la ausencia de informe de observaciones, la omisión de verificación de agenda regulatoria o la falta de justificación sobre la no aplicabilidad de alguna de estas etapas puede constituir flanco de cuestionamiento jurídico por posible afectación de reglas de publicidad, participación, transparencia, motivación y trazabilidad del acto administrativo.</w:t>
      </w:r>
    </w:p>
    <w:p w14:paraId="276127B1" w14:textId="77777777" w:rsidR="00EB1EDF" w:rsidRDefault="00EB1EDF" w:rsidP="000553D7">
      <w:pPr>
        <w:widowControl w:val="0"/>
        <w:jc w:val="both"/>
        <w:rPr>
          <w:rFonts w:cs="Arial"/>
          <w:lang w:val="es-CO"/>
        </w:rPr>
      </w:pPr>
    </w:p>
    <w:p w14:paraId="11B3F44D" w14:textId="3F47B17F" w:rsidR="000553D7" w:rsidRPr="000553D7" w:rsidRDefault="000553D7" w:rsidP="000553D7">
      <w:pPr>
        <w:widowControl w:val="0"/>
        <w:jc w:val="both"/>
        <w:rPr>
          <w:rFonts w:cs="Arial"/>
          <w:lang w:val="es-CO"/>
        </w:rPr>
      </w:pPr>
      <w:r w:rsidRPr="000553D7">
        <w:rPr>
          <w:rFonts w:cs="Arial"/>
          <w:lang w:val="es-CO"/>
        </w:rPr>
        <w:t>En consecuencia, la viabilidad jurídica del proyecto debe entenderse sujeta a la verificación y documentación de las etapas procedimentales que resulten aplicables o, en su defecto, a la constancia motivada de su no aplicabilidad dentro del expediente regulatorio.</w:t>
      </w:r>
    </w:p>
    <w:p w14:paraId="58D910EA" w14:textId="77777777" w:rsidR="000553D7" w:rsidRPr="000553D7" w:rsidRDefault="000553D7" w:rsidP="000553D7">
      <w:pPr>
        <w:widowControl w:val="0"/>
        <w:jc w:val="both"/>
        <w:rPr>
          <w:rFonts w:cs="Arial"/>
          <w:lang w:val="es-CO"/>
        </w:rPr>
      </w:pPr>
    </w:p>
    <w:p w14:paraId="3DFE3F9D"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15. Comunicaciones a ICA e INVIMA</w:t>
      </w:r>
    </w:p>
    <w:p w14:paraId="0B123F87" w14:textId="77777777" w:rsidR="00EB1EDF" w:rsidRPr="000553D7" w:rsidRDefault="00EB1EDF" w:rsidP="000553D7">
      <w:pPr>
        <w:widowControl w:val="0"/>
        <w:jc w:val="both"/>
        <w:rPr>
          <w:rFonts w:cs="Arial"/>
          <w:lang w:val="es-CO"/>
        </w:rPr>
      </w:pPr>
    </w:p>
    <w:p w14:paraId="5DDB491E" w14:textId="553C72F0" w:rsidR="00404531" w:rsidRPr="000553D7" w:rsidRDefault="00000000" w:rsidP="000553D7">
      <w:pPr>
        <w:widowControl w:val="0"/>
        <w:jc w:val="both"/>
        <w:rPr>
          <w:rFonts w:cs="Arial"/>
          <w:lang w:val="es-CO"/>
        </w:rPr>
      </w:pPr>
      <w:r w:rsidRPr="000553D7">
        <w:rPr>
          <w:rFonts w:cs="Arial"/>
          <w:lang w:val="es-CO"/>
        </w:rPr>
        <w:t>Las comunicaciones a ICA e INVIMA son jurídicamente recomendables como mecanismo de frontera competencial, siempre que no se formulen como solicitud de aprobación, autorización, visto bueno, coautoría o validación técnica. Su finalidad debe ser obtener comentarios sobre posibles riesgos de interpretación frente a competencias sanitarias, fitosanitarias, de inocuidad, control de plagas, tratamientos cuarentenarios o vigilancia de productos y mercancías.</w:t>
      </w:r>
    </w:p>
    <w:p w14:paraId="0272E1D0" w14:textId="77777777" w:rsidR="00EB1EDF" w:rsidRPr="000553D7" w:rsidRDefault="00EB1EDF" w:rsidP="000553D7">
      <w:pPr>
        <w:widowControl w:val="0"/>
        <w:jc w:val="both"/>
        <w:rPr>
          <w:rFonts w:cs="Arial"/>
          <w:lang w:val="es-CO"/>
        </w:rPr>
      </w:pPr>
    </w:p>
    <w:p w14:paraId="4090F0FF" w14:textId="07B19EB0" w:rsidR="00404531" w:rsidRPr="000553D7" w:rsidRDefault="000553D7" w:rsidP="000553D7">
      <w:pPr>
        <w:widowControl w:val="0"/>
        <w:jc w:val="both"/>
        <w:rPr>
          <w:rFonts w:cs="Arial"/>
          <w:lang w:val="es-CO"/>
        </w:rPr>
      </w:pPr>
      <w:r w:rsidRPr="000553D7">
        <w:rPr>
          <w:rFonts w:cs="Arial"/>
          <w:lang w:val="es-CO"/>
        </w:rPr>
        <w:t>Por tratarse de comunicaciones institucionales vinculadas a un proyecto de acto administrativo general con posible frontera competencial intersectorial, resulta recomendable que sean suscritas por el Superintendente de Transporte y que estén precedidas de una explicación clara, funcional y práctica del alcance documental del proyecto.</w:t>
      </w:r>
    </w:p>
    <w:p w14:paraId="1A08CA8F" w14:textId="77777777" w:rsidR="00EB1EDF" w:rsidRPr="000553D7" w:rsidRDefault="00EB1EDF" w:rsidP="000553D7">
      <w:pPr>
        <w:widowControl w:val="0"/>
        <w:jc w:val="both"/>
        <w:rPr>
          <w:rFonts w:cs="Arial"/>
          <w:lang w:val="es-CO"/>
        </w:rPr>
      </w:pPr>
    </w:p>
    <w:p w14:paraId="137A2C19" w14:textId="40243251"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 xml:space="preserve">16. </w:t>
      </w:r>
      <w:r w:rsidR="000553D7" w:rsidRPr="000553D7">
        <w:rPr>
          <w:rFonts w:ascii="Arial" w:eastAsia="Arial" w:hAnsi="Arial" w:cs="Arial"/>
          <w:color w:val="auto"/>
          <w:sz w:val="22"/>
          <w:szCs w:val="22"/>
          <w:lang w:val="es-CO"/>
        </w:rPr>
        <w:t>Condiciones previas de cierre jurídico y procedimental</w:t>
      </w:r>
    </w:p>
    <w:p w14:paraId="2B82A185" w14:textId="77777777" w:rsidR="00EB1EDF" w:rsidRDefault="00EB1EDF" w:rsidP="000553D7">
      <w:pPr>
        <w:widowControl w:val="0"/>
        <w:jc w:val="both"/>
        <w:rPr>
          <w:rFonts w:cs="Arial"/>
          <w:lang w:val="es-CO"/>
        </w:rPr>
      </w:pPr>
    </w:p>
    <w:p w14:paraId="28B3368B" w14:textId="097E4F4B" w:rsidR="000553D7" w:rsidRPr="000553D7" w:rsidRDefault="000553D7" w:rsidP="000553D7">
      <w:pPr>
        <w:widowControl w:val="0"/>
        <w:jc w:val="both"/>
        <w:rPr>
          <w:rFonts w:cs="Arial"/>
          <w:lang w:val="es-CO"/>
        </w:rPr>
      </w:pPr>
      <w:r w:rsidRPr="000553D7">
        <w:rPr>
          <w:rFonts w:cs="Arial"/>
          <w:lang w:val="es-CO"/>
        </w:rPr>
        <w:t xml:space="preserve">Antes de someter el proyecto a decisión final de expedición, o a la actuación institucional que </w:t>
      </w:r>
      <w:r w:rsidRPr="000553D7">
        <w:rPr>
          <w:rFonts w:cs="Arial"/>
          <w:lang w:val="es-CO"/>
        </w:rPr>
        <w:lastRenderedPageBreak/>
        <w:t>corresponda según la etapa procedimental aplicable, deberán verificarse como mínimo las siguientes condiciones:</w:t>
      </w:r>
    </w:p>
    <w:p w14:paraId="0361550E" w14:textId="77777777" w:rsidR="000553D7" w:rsidRPr="000553D7" w:rsidRDefault="000553D7" w:rsidP="000553D7">
      <w:pPr>
        <w:widowControl w:val="0"/>
        <w:jc w:val="both"/>
        <w:rPr>
          <w:rFonts w:cs="Arial"/>
          <w:lang w:val="es-CO"/>
        </w:rPr>
      </w:pPr>
    </w:p>
    <w:p w14:paraId="50FA7D2B" w14:textId="6CAE1AB8" w:rsidR="00404531" w:rsidRPr="000553D7" w:rsidRDefault="000553D7" w:rsidP="000553D7">
      <w:pPr>
        <w:widowControl w:val="0"/>
        <w:jc w:val="both"/>
        <w:rPr>
          <w:rFonts w:cs="Arial"/>
          <w:lang w:val="es-CO"/>
        </w:rPr>
      </w:pPr>
      <w:r w:rsidRPr="000553D7">
        <w:rPr>
          <w:rFonts w:cs="Arial"/>
          <w:lang w:val="es-CO"/>
        </w:rPr>
        <w:t>Consolidar versión final limpia de la resolución y del anexo técnico, sin notas internas, marcas de revisión ni lenguaje que sugiera validación de eficacia, certificación, homologación, aprobación o liberación</w:t>
      </w:r>
      <w:r>
        <w:rPr>
          <w:rFonts w:cs="Arial"/>
          <w:lang w:val="es-CO"/>
        </w:rPr>
        <w:t>.</w:t>
      </w:r>
    </w:p>
    <w:p w14:paraId="0C698918" w14:textId="77777777" w:rsidR="00EB1EDF" w:rsidRPr="000553D7" w:rsidRDefault="00EB1EDF" w:rsidP="000553D7">
      <w:pPr>
        <w:widowControl w:val="0"/>
        <w:jc w:val="both"/>
        <w:rPr>
          <w:rFonts w:cs="Arial"/>
          <w:lang w:val="es-CO"/>
        </w:rPr>
      </w:pPr>
    </w:p>
    <w:p w14:paraId="34A0BC67" w14:textId="08C7D6A9" w:rsidR="00404531" w:rsidRPr="0021089C" w:rsidRDefault="0021089C" w:rsidP="000553D7">
      <w:pPr>
        <w:widowControl w:val="0"/>
        <w:jc w:val="both"/>
        <w:rPr>
          <w:rFonts w:cs="Arial"/>
          <w:lang w:val="es-CO"/>
        </w:rPr>
      </w:pPr>
      <w:r w:rsidRPr="0021089C">
        <w:rPr>
          <w:rFonts w:cs="Arial"/>
          <w:lang w:val="es-CO"/>
        </w:rPr>
        <w:t>Incorporar en el expediente o en los materiales de explicación institucional un diagrama gráfico de alcance que explique cuándo aplica el instrumento, quiénes son los sujetos destinatarios, qué evidencia se revisa, qué se concluye y qué queda por fuera del ámbito de la Superintendencia.</w:t>
      </w:r>
    </w:p>
    <w:p w14:paraId="3E65B903" w14:textId="77777777" w:rsidR="00EB1EDF" w:rsidRPr="000553D7" w:rsidRDefault="00EB1EDF" w:rsidP="000553D7">
      <w:pPr>
        <w:widowControl w:val="0"/>
        <w:jc w:val="both"/>
        <w:rPr>
          <w:rFonts w:cs="Arial"/>
          <w:lang w:val="es-CO"/>
        </w:rPr>
      </w:pPr>
    </w:p>
    <w:p w14:paraId="156896D5" w14:textId="77777777" w:rsidR="00404531" w:rsidRPr="000553D7" w:rsidRDefault="00000000" w:rsidP="000553D7">
      <w:pPr>
        <w:widowControl w:val="0"/>
        <w:jc w:val="both"/>
        <w:rPr>
          <w:rFonts w:cs="Arial"/>
          <w:lang w:val="es-CO"/>
        </w:rPr>
      </w:pPr>
      <w:proofErr w:type="gramStart"/>
      <w:r w:rsidRPr="000553D7">
        <w:rPr>
          <w:rFonts w:cs="Arial"/>
          <w:lang w:val="es-CO"/>
        </w:rPr>
        <w:t>Confirmar</w:t>
      </w:r>
      <w:proofErr w:type="gramEnd"/>
      <w:r w:rsidRPr="000553D7">
        <w:rPr>
          <w:rFonts w:cs="Arial"/>
          <w:lang w:val="es-CO"/>
        </w:rPr>
        <w:t xml:space="preserve"> que la herramienta operativa no contenga expresiones de aprobación, rechazo, resultado automático, recomendación obligatoria, certificación, homologación o liberación.</w:t>
      </w:r>
    </w:p>
    <w:p w14:paraId="081669BF" w14:textId="77777777" w:rsidR="00EB1EDF" w:rsidRPr="000553D7" w:rsidRDefault="00EB1EDF" w:rsidP="000553D7">
      <w:pPr>
        <w:widowControl w:val="0"/>
        <w:jc w:val="both"/>
        <w:rPr>
          <w:rFonts w:cs="Arial"/>
          <w:lang w:val="es-CO"/>
        </w:rPr>
      </w:pPr>
    </w:p>
    <w:p w14:paraId="686F33EE" w14:textId="01B9C73D" w:rsidR="00404531" w:rsidRPr="0021089C" w:rsidRDefault="0021089C" w:rsidP="000553D7">
      <w:pPr>
        <w:widowControl w:val="0"/>
        <w:jc w:val="both"/>
        <w:rPr>
          <w:rFonts w:cs="Arial"/>
          <w:lang w:val="es-CO"/>
        </w:rPr>
      </w:pPr>
      <w:r w:rsidRPr="0021089C">
        <w:rPr>
          <w:rFonts w:cs="Arial"/>
          <w:lang w:val="es-CO"/>
        </w:rPr>
        <w:t>Documentar las comunicaciones, respuestas, comentarios o constancias asociadas a ICA, INVIMA y, si procede, DIAN u otras autoridades de frontera competencial.</w:t>
      </w:r>
    </w:p>
    <w:p w14:paraId="58A7FD60" w14:textId="77777777" w:rsidR="00EB1EDF" w:rsidRPr="000553D7" w:rsidRDefault="00EB1EDF" w:rsidP="000553D7">
      <w:pPr>
        <w:widowControl w:val="0"/>
        <w:jc w:val="both"/>
        <w:rPr>
          <w:rFonts w:cs="Arial"/>
          <w:lang w:val="es-CO"/>
        </w:rPr>
      </w:pPr>
    </w:p>
    <w:p w14:paraId="0D282767" w14:textId="77777777" w:rsidR="00404531" w:rsidRPr="000553D7" w:rsidRDefault="00000000" w:rsidP="000553D7">
      <w:pPr>
        <w:pStyle w:val="Ttulo1"/>
        <w:keepNext w:val="0"/>
        <w:keepLines w:val="0"/>
        <w:widowControl w:val="0"/>
        <w:rPr>
          <w:rFonts w:ascii="Arial" w:hAnsi="Arial" w:cs="Arial"/>
          <w:color w:val="auto"/>
          <w:sz w:val="22"/>
          <w:szCs w:val="22"/>
          <w:lang w:val="es-CO"/>
        </w:rPr>
      </w:pPr>
      <w:r w:rsidRPr="000553D7">
        <w:rPr>
          <w:rFonts w:ascii="Arial" w:eastAsia="Arial" w:hAnsi="Arial" w:cs="Arial"/>
          <w:color w:val="auto"/>
          <w:sz w:val="22"/>
          <w:szCs w:val="22"/>
          <w:lang w:val="es-CO"/>
        </w:rPr>
        <w:t>17. Conclusión</w:t>
      </w:r>
    </w:p>
    <w:p w14:paraId="67B72034" w14:textId="77777777" w:rsidR="00EB1EDF" w:rsidRPr="000553D7" w:rsidRDefault="00EB1EDF" w:rsidP="000553D7">
      <w:pPr>
        <w:widowControl w:val="0"/>
        <w:jc w:val="both"/>
        <w:rPr>
          <w:rFonts w:cs="Arial"/>
          <w:lang w:val="es-CO"/>
        </w:rPr>
      </w:pPr>
    </w:p>
    <w:p w14:paraId="587C4A25" w14:textId="3FB040EA" w:rsidR="00404531" w:rsidRPr="000553D7" w:rsidRDefault="00000000" w:rsidP="000553D7">
      <w:pPr>
        <w:widowControl w:val="0"/>
        <w:jc w:val="both"/>
        <w:rPr>
          <w:rFonts w:cs="Arial"/>
          <w:lang w:val="es-CO"/>
        </w:rPr>
      </w:pPr>
      <w:r w:rsidRPr="000553D7">
        <w:rPr>
          <w:rFonts w:cs="Arial"/>
          <w:lang w:val="es-CO"/>
        </w:rPr>
        <w:t>Con base en el análisis realizado, se emite concepto jurídico favorable condicionado respecto del proyecto de resolución PHLC, siempre que se mantenga la delimitación del instrumento como mecanismo de documentación, trazabilidad, conservación, disponibilidad de evidencia y verificabilidad administrativa para efectos de inspección, vigilancia y control.</w:t>
      </w:r>
    </w:p>
    <w:p w14:paraId="091FA9C8" w14:textId="77777777" w:rsidR="00EB1EDF" w:rsidRPr="000553D7" w:rsidRDefault="00EB1EDF" w:rsidP="000553D7">
      <w:pPr>
        <w:widowControl w:val="0"/>
        <w:jc w:val="both"/>
        <w:rPr>
          <w:rFonts w:cs="Arial"/>
          <w:lang w:val="es-CO"/>
        </w:rPr>
      </w:pPr>
    </w:p>
    <w:p w14:paraId="33356255" w14:textId="188CFB61" w:rsidR="00404531" w:rsidRPr="004813FB" w:rsidRDefault="004813FB" w:rsidP="000553D7">
      <w:pPr>
        <w:widowControl w:val="0"/>
        <w:jc w:val="both"/>
        <w:rPr>
          <w:rFonts w:cs="Arial"/>
          <w:lang w:val="es-CO"/>
        </w:rPr>
      </w:pPr>
      <w:r w:rsidRPr="004813FB">
        <w:rPr>
          <w:rFonts w:cs="Arial"/>
          <w:lang w:val="es-CO"/>
        </w:rPr>
        <w:t>La revisión interna efectuada no impide continuar el proceso. Permite precisar la explicación, reforzar la delimitación, aclarar sujetos y materia aduanera, distinguir modalidades de verificación, incorporar una secuencia funcional de alcance y elevar las comunicaciones a ICA e INVIMA al nivel institucional adecuado.</w:t>
      </w:r>
    </w:p>
    <w:p w14:paraId="71870254" w14:textId="77777777" w:rsidR="00EB1EDF" w:rsidRPr="000553D7" w:rsidRDefault="00EB1EDF" w:rsidP="000553D7">
      <w:pPr>
        <w:widowControl w:val="0"/>
        <w:jc w:val="both"/>
        <w:rPr>
          <w:rFonts w:cs="Arial"/>
          <w:lang w:val="es-CO"/>
        </w:rPr>
      </w:pPr>
    </w:p>
    <w:p w14:paraId="220A1825" w14:textId="382BC097" w:rsidR="00404531" w:rsidRPr="004813FB" w:rsidRDefault="004813FB" w:rsidP="000553D7">
      <w:pPr>
        <w:widowControl w:val="0"/>
        <w:jc w:val="both"/>
        <w:rPr>
          <w:rFonts w:cs="Arial"/>
          <w:lang w:val="es-CO"/>
        </w:rPr>
      </w:pPr>
      <w:r w:rsidRPr="004813FB">
        <w:rPr>
          <w:rFonts w:cs="Arial"/>
          <w:lang w:val="es-CO"/>
        </w:rPr>
        <w:t>La viabilidad jurídica se condiciona a que el proyecto no regule, certifique, homologue, valide, autorice, avale, libere ni califique la eficacia del tratamiento aplicado; no cree trámite; no configure reglamento técnico; no imponga tecnologías, métodos, sustancias, equipos o proveedores; no invada competencias de autoridades especializadas; conserve la subordinación del anexo técnico y de la herramienta operativa; y cumpla las etapas procedimentales, de publicidad, consulta y soporte documental que resulten aplicables.</w:t>
      </w:r>
    </w:p>
    <w:p w14:paraId="0C0D41C9" w14:textId="77777777" w:rsidR="00EB1EDF" w:rsidRPr="000553D7" w:rsidRDefault="00EB1EDF" w:rsidP="000553D7">
      <w:pPr>
        <w:widowControl w:val="0"/>
        <w:jc w:val="both"/>
        <w:rPr>
          <w:rFonts w:cs="Arial"/>
          <w:lang w:val="es-CO"/>
        </w:rPr>
      </w:pPr>
    </w:p>
    <w:sectPr w:rsidR="00EB1EDF" w:rsidRPr="000553D7">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E166" w14:textId="77777777" w:rsidR="00B177CA" w:rsidRDefault="00B177CA">
      <w:r>
        <w:separator/>
      </w:r>
    </w:p>
  </w:endnote>
  <w:endnote w:type="continuationSeparator" w:id="0">
    <w:p w14:paraId="496E3FBA" w14:textId="77777777" w:rsidR="00B177CA" w:rsidRDefault="00B1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C711" w14:textId="77777777" w:rsidR="00EB1EDF" w:rsidRDefault="00EB1EDF" w:rsidP="00EB1EDF">
    <w:pPr>
      <w:pStyle w:val="Piedepgina"/>
      <w:jc w:val="center"/>
      <w:rPr>
        <w:lang w:val="es-CO"/>
      </w:rPr>
    </w:pPr>
  </w:p>
  <w:p w14:paraId="258EFAF1" w14:textId="12CA8844" w:rsidR="00EB1EDF" w:rsidRPr="00EB1EDF" w:rsidRDefault="00EB1EDF" w:rsidP="00EB1EDF">
    <w:pPr>
      <w:pStyle w:val="Piedepgina"/>
      <w:jc w:val="center"/>
      <w:rPr>
        <w:lang w:val="es-CO"/>
      </w:rPr>
    </w:pPr>
    <w:r>
      <w:rPr>
        <w:lang w:val="es-CO"/>
      </w:rPr>
      <w:t xml:space="preserve">Hoja </w:t>
    </w:r>
    <w:r w:rsidRPr="00EB1EDF">
      <w:rPr>
        <w:lang w:val="es-CO"/>
      </w:rPr>
      <w:fldChar w:fldCharType="begin"/>
    </w:r>
    <w:r w:rsidRPr="00EB1EDF">
      <w:rPr>
        <w:lang w:val="es-CO"/>
      </w:rPr>
      <w:instrText>PAGE   \* MERGEFORMAT</w:instrText>
    </w:r>
    <w:r w:rsidRPr="00EB1EDF">
      <w:rPr>
        <w:lang w:val="es-CO"/>
      </w:rPr>
      <w:fldChar w:fldCharType="separate"/>
    </w:r>
    <w:r w:rsidRPr="00EB1EDF">
      <w:rPr>
        <w:lang w:val="es-MX"/>
      </w:rPr>
      <w:t>1</w:t>
    </w:r>
    <w:r w:rsidRPr="00EB1EDF">
      <w:rPr>
        <w:lang w:val="es-CO"/>
      </w:rPr>
      <w:fldChar w:fldCharType="end"/>
    </w:r>
    <w:r>
      <w:rPr>
        <w:lang w:val="es-CO"/>
      </w:rPr>
      <w:t xml:space="preserve"> de </w:t>
    </w:r>
    <w:r>
      <w:rPr>
        <w:lang w:val="es-CO"/>
      </w:rPr>
      <w:fldChar w:fldCharType="begin"/>
    </w:r>
    <w:r>
      <w:rPr>
        <w:lang w:val="es-CO"/>
      </w:rPr>
      <w:instrText xml:space="preserve"> NUMPAGES   \* MERGEFORMAT </w:instrText>
    </w:r>
    <w:r>
      <w:rPr>
        <w:lang w:val="es-CO"/>
      </w:rPr>
      <w:fldChar w:fldCharType="separate"/>
    </w:r>
    <w:r>
      <w:rPr>
        <w:noProof/>
        <w:lang w:val="es-CO"/>
      </w:rPr>
      <w:t>4</w:t>
    </w:r>
    <w:r>
      <w:rPr>
        <w:lang w:val="es-C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1E61" w14:textId="77777777" w:rsidR="00B177CA" w:rsidRDefault="00B177CA">
      <w:r>
        <w:separator/>
      </w:r>
    </w:p>
  </w:footnote>
  <w:footnote w:type="continuationSeparator" w:id="0">
    <w:p w14:paraId="67A79D8D" w14:textId="77777777" w:rsidR="00B177CA" w:rsidRDefault="00B1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7E13" w14:textId="77777777" w:rsidR="00EB1EDF" w:rsidRPr="00EB1EDF" w:rsidRDefault="00EB1EDF" w:rsidP="00EB1EDF">
    <w:pPr>
      <w:jc w:val="center"/>
      <w:rPr>
        <w:lang w:val="es-CO"/>
      </w:rPr>
    </w:pPr>
    <w:r w:rsidRPr="00EB1EDF">
      <w:rPr>
        <w:b/>
        <w:lang w:val="es-CO"/>
      </w:rPr>
      <w:t>CONCEPTO DE VIABILIDAD JURÍDICA</w:t>
    </w:r>
  </w:p>
  <w:p w14:paraId="08AB0AA0" w14:textId="34C15321" w:rsidR="00EB1EDF" w:rsidRDefault="00EB1EDF" w:rsidP="00EB1EDF">
    <w:pPr>
      <w:pStyle w:val="Encabezado"/>
      <w:jc w:val="center"/>
      <w:rPr>
        <w:lang w:val="es-CO"/>
      </w:rPr>
    </w:pPr>
    <w:r w:rsidRPr="00EB1EDF">
      <w:rPr>
        <w:b/>
        <w:lang w:val="es-CO"/>
      </w:rPr>
      <w:t>Proyecto de Resolución PHLC</w:t>
    </w:r>
  </w:p>
  <w:p w14:paraId="3B9D1A8E" w14:textId="77777777" w:rsidR="00EB1EDF" w:rsidRPr="00EB1EDF" w:rsidRDefault="00EB1EDF">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aconnmeros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aconnmeros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aconvietas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aconvietas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aconnmeros"/>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num w:numId="1" w16cid:durableId="1377044824">
    <w:abstractNumId w:val="1"/>
  </w:num>
  <w:num w:numId="2" w16cid:durableId="762454084">
    <w:abstractNumId w:val="0"/>
  </w:num>
  <w:num w:numId="3" w16cid:durableId="1531720903">
    <w:abstractNumId w:val="4"/>
  </w:num>
  <w:num w:numId="4" w16cid:durableId="847713191">
    <w:abstractNumId w:val="2"/>
  </w:num>
  <w:num w:numId="5" w16cid:durableId="758334386">
    <w:abstractNumId w:val="5"/>
  </w:num>
  <w:num w:numId="6" w16cid:durableId="200955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53D7"/>
    <w:rsid w:val="0006063C"/>
    <w:rsid w:val="0015074B"/>
    <w:rsid w:val="0021089C"/>
    <w:rsid w:val="0029639D"/>
    <w:rsid w:val="00326F90"/>
    <w:rsid w:val="00404531"/>
    <w:rsid w:val="004813FB"/>
    <w:rsid w:val="00AA1D8D"/>
    <w:rsid w:val="00B177CA"/>
    <w:rsid w:val="00B47730"/>
    <w:rsid w:val="00CB0664"/>
    <w:rsid w:val="00DF3F8A"/>
    <w:rsid w:val="00EB1EDF"/>
    <w:rsid w:val="00FC693F"/>
    <w:rsid w:val="5C48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628D7C"/>
  <w14:defaultImageDpi w14:val="300"/>
  <w15:docId w15:val="{58A35751-A5A6-4E6B-B9C3-1C726F35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2"/>
      <w:szCs w:val="22"/>
      <w:lang w:val="en-US" w:eastAsia="en-US"/>
    </w:rPr>
  </w:style>
  <w:style w:type="paragraph" w:styleId="Ttulo1">
    <w:name w:val="heading 1"/>
    <w:basedOn w:val="Normal"/>
    <w:next w:val="Normal"/>
    <w:link w:val="Ttulo1Car"/>
    <w:uiPriority w:val="9"/>
    <w:qFormat/>
    <w:pPr>
      <w:keepNext/>
      <w:keepLines/>
      <w:outlineLvl w:val="0"/>
    </w:pPr>
    <w:rPr>
      <w:rFonts w:asciiTheme="majorHAnsi" w:eastAsiaTheme="majorEastAsia" w:hAnsiTheme="majorHAnsi" w:cstheme="majorBidi"/>
      <w:b/>
      <w:bCs/>
      <w:color w:val="365F91" w:themeColor="accent1" w:themeShade="BF"/>
      <w:sz w:val="24"/>
      <w:szCs w:val="28"/>
    </w:rPr>
  </w:style>
  <w:style w:type="paragraph" w:styleId="Ttulo2">
    <w:name w:val="heading 2"/>
    <w:basedOn w:val="Normal"/>
    <w:next w:val="Normal"/>
    <w:link w:val="Ttulo2Car"/>
    <w:uiPriority w:val="9"/>
    <w:unhideWhenUsed/>
    <w:qFormat/>
    <w:pPr>
      <w:keepNext/>
      <w:keepLines/>
      <w:outlineLvl w:val="1"/>
    </w:pPr>
    <w:rPr>
      <w:rFonts w:asciiTheme="majorHAnsi" w:eastAsiaTheme="majorEastAsia" w:hAnsiTheme="majorHAnsi" w:cstheme="majorBidi"/>
      <w:b/>
      <w:bCs/>
      <w:color w:val="4F81BD" w:themeColor="accent1"/>
      <w:szCs w:val="26"/>
    </w:rPr>
  </w:style>
  <w:style w:type="paragraph" w:styleId="Ttulo3">
    <w:name w:val="heading 3"/>
    <w:basedOn w:val="Normal"/>
    <w:next w:val="Normal"/>
    <w:link w:val="Ttulo3Car"/>
    <w:uiPriority w:val="9"/>
    <w:unhideWhenUsed/>
    <w:qFormat/>
    <w:pPr>
      <w:keepNext/>
      <w:keepLines/>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Ttulo6">
    <w:name w:val="heading 6"/>
    <w:basedOn w:val="Normal"/>
    <w:next w:val="Normal"/>
    <w:link w:val="Ttulo6Car"/>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Ttulo7">
    <w:name w:val="heading 7"/>
    <w:basedOn w:val="Normal"/>
    <w:next w:val="Normal"/>
    <w:link w:val="Ttulo7C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Fuerte">
    <w:name w:val="Strong"/>
    <w:basedOn w:val="Fuentedeprrafopredeter"/>
    <w:uiPriority w:val="22"/>
    <w:qFormat/>
    <w:rPr>
      <w:b/>
      <w:bCs/>
    </w:rPr>
  </w:style>
  <w:style w:type="paragraph" w:styleId="Continuarlista2">
    <w:name w:val="List Continue 2"/>
    <w:basedOn w:val="Normal"/>
    <w:uiPriority w:val="99"/>
    <w:unhideWhenUsed/>
    <w:pPr>
      <w:spacing w:after="120"/>
      <w:ind w:left="720"/>
      <w:contextualSpacing/>
    </w:pPr>
  </w:style>
  <w:style w:type="paragraph" w:styleId="Descripcin">
    <w:name w:val="caption"/>
    <w:basedOn w:val="Normal"/>
    <w:next w:val="Normal"/>
    <w:uiPriority w:val="35"/>
    <w:semiHidden/>
    <w:unhideWhenUsed/>
    <w:qFormat/>
    <w:rPr>
      <w:b/>
      <w:bCs/>
      <w:color w:val="4F81BD" w:themeColor="accent1"/>
      <w:sz w:val="18"/>
      <w:szCs w:val="18"/>
    </w:rPr>
  </w:style>
  <w:style w:type="paragraph" w:styleId="Textomacro">
    <w:name w:val="macro"/>
    <w:link w:val="Texto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Continuarlista3">
    <w:name w:val="List Continue 3"/>
    <w:basedOn w:val="Normal"/>
    <w:uiPriority w:val="99"/>
    <w:unhideWhenUsed/>
    <w:pPr>
      <w:spacing w:after="120"/>
      <w:ind w:left="1080"/>
      <w:contextualSpacing/>
    </w:pPr>
  </w:style>
  <w:style w:type="paragraph" w:styleId="Continuarlista">
    <w:name w:val="List Continue"/>
    <w:basedOn w:val="Normal"/>
    <w:uiPriority w:val="99"/>
    <w:unhideWhenUsed/>
    <w:pPr>
      <w:spacing w:after="120"/>
      <w:ind w:left="360"/>
      <w:contextualSpacing/>
    </w:pPr>
  </w:style>
  <w:style w:type="paragraph" w:styleId="Textoindependiente2">
    <w:name w:val="Body Text 2"/>
    <w:basedOn w:val="Normal"/>
    <w:link w:val="Textoindependiente2Car"/>
    <w:uiPriority w:val="99"/>
    <w:unhideWhenUsed/>
    <w:pPr>
      <w:spacing w:after="120" w:line="480" w:lineRule="auto"/>
    </w:pPr>
  </w:style>
  <w:style w:type="paragraph" w:styleId="Lista3">
    <w:name w:val="List 3"/>
    <w:basedOn w:val="Normal"/>
    <w:uiPriority w:val="99"/>
    <w:unhideWhenUsed/>
    <w:pPr>
      <w:ind w:left="1080" w:hanging="360"/>
      <w:contextualSpacing/>
    </w:pPr>
  </w:style>
  <w:style w:type="paragraph" w:styleId="Listaconnmeros2">
    <w:name w:val="List Number 2"/>
    <w:basedOn w:val="Normal"/>
    <w:uiPriority w:val="99"/>
    <w:unhideWhenUsed/>
    <w:pPr>
      <w:numPr>
        <w:numId w:val="1"/>
      </w:numPr>
      <w:contextualSpacing/>
    </w:pPr>
  </w:style>
  <w:style w:type="paragraph" w:styleId="Encabezado">
    <w:name w:val="header"/>
    <w:basedOn w:val="Normal"/>
    <w:link w:val="EncabezadoCar"/>
    <w:uiPriority w:val="99"/>
    <w:unhideWhenUsed/>
    <w:qFormat/>
    <w:pPr>
      <w:tabs>
        <w:tab w:val="center" w:pos="4680"/>
        <w:tab w:val="right" w:pos="9360"/>
      </w:tabs>
    </w:pPr>
  </w:style>
  <w:style w:type="paragraph" w:styleId="Listaconnmeros3">
    <w:name w:val="List Number 3"/>
    <w:basedOn w:val="Normal"/>
    <w:uiPriority w:val="99"/>
    <w:unhideWhenUsed/>
    <w:pPr>
      <w:numPr>
        <w:numId w:val="2"/>
      </w:numPr>
      <w:contextualSpacing/>
    </w:pPr>
  </w:style>
  <w:style w:type="paragraph" w:styleId="Listaconnmeros">
    <w:name w:val="List Number"/>
    <w:basedOn w:val="Normal"/>
    <w:uiPriority w:val="99"/>
    <w:unhideWhenUsed/>
    <w:pPr>
      <w:numPr>
        <w:numId w:val="3"/>
      </w:numPr>
      <w:contextualSpacing/>
    </w:pPr>
  </w:style>
  <w:style w:type="paragraph" w:styleId="Lista2">
    <w:name w:val="List 2"/>
    <w:basedOn w:val="Normal"/>
    <w:uiPriority w:val="99"/>
    <w:unhideWhenUsed/>
    <w:pPr>
      <w:ind w:left="720" w:hanging="360"/>
      <w:contextualSpacing/>
    </w:pPr>
  </w:style>
  <w:style w:type="paragraph" w:styleId="Listaconvietas3">
    <w:name w:val="List Bullet 3"/>
    <w:basedOn w:val="Normal"/>
    <w:uiPriority w:val="99"/>
    <w:unhideWhenUsed/>
    <w:pPr>
      <w:numPr>
        <w:numId w:val="4"/>
      </w:numPr>
      <w:contextualSpacing/>
    </w:pPr>
  </w:style>
  <w:style w:type="paragraph" w:styleId="Lista">
    <w:name w:val="List"/>
    <w:basedOn w:val="Normal"/>
    <w:uiPriority w:val="99"/>
    <w:unhideWhenUsed/>
    <w:pPr>
      <w:ind w:left="360" w:hanging="360"/>
      <w:contextualSpacing/>
    </w:pPr>
  </w:style>
  <w:style w:type="paragraph" w:styleId="Listaconvietas">
    <w:name w:val="List Bullet"/>
    <w:basedOn w:val="Normal"/>
    <w:uiPriority w:val="99"/>
    <w:unhideWhenUsed/>
    <w:pPr>
      <w:numPr>
        <w:numId w:val="5"/>
      </w:numPr>
      <w:contextualSpacing/>
    </w:pPr>
  </w:style>
  <w:style w:type="paragraph" w:styleId="Listaconvietas2">
    <w:name w:val="List Bullet 2"/>
    <w:basedOn w:val="Normal"/>
    <w:uiPriority w:val="99"/>
    <w:unhideWhenUsed/>
    <w:pPr>
      <w:numPr>
        <w:numId w:val="6"/>
      </w:numPr>
      <w:contextualSpacing/>
    </w:pPr>
  </w:style>
  <w:style w:type="paragraph" w:styleId="Piedepgina">
    <w:name w:val="footer"/>
    <w:basedOn w:val="Normal"/>
    <w:link w:val="PiedepginaCar"/>
    <w:uiPriority w:val="99"/>
    <w:unhideWhenUsed/>
    <w:pPr>
      <w:tabs>
        <w:tab w:val="center" w:pos="4680"/>
        <w:tab w:val="right" w:pos="9360"/>
      </w:tabs>
    </w:pPr>
  </w:style>
  <w:style w:type="paragraph" w:styleId="Subttulo">
    <w:name w:val="Subtitle"/>
    <w:basedOn w:val="Normal"/>
    <w:next w:val="Normal"/>
    <w:link w:val="SubttuloCar"/>
    <w:uiPriority w:val="11"/>
    <w:qFormat/>
    <w:rPr>
      <w:rFonts w:asciiTheme="majorHAnsi" w:eastAsiaTheme="majorEastAsia" w:hAnsiTheme="majorHAnsi" w:cstheme="majorBidi"/>
      <w:i/>
      <w:iCs/>
      <w:color w:val="4F81BD" w:themeColor="accent1"/>
      <w:spacing w:val="15"/>
      <w:sz w:val="24"/>
      <w:szCs w:val="24"/>
    </w:rPr>
  </w:style>
  <w:style w:type="paragraph" w:styleId="Textoindependiente">
    <w:name w:val="Body Text"/>
    <w:basedOn w:val="Normal"/>
    <w:link w:val="TextoindependienteCar"/>
    <w:uiPriority w:val="99"/>
    <w:unhideWhenUsed/>
  </w:style>
  <w:style w:type="paragraph" w:styleId="Textoindependiente3">
    <w:name w:val="Body Text 3"/>
    <w:basedOn w:val="Normal"/>
    <w:link w:val="Textoindependiente3Car"/>
    <w:uiPriority w:val="99"/>
    <w:unhideWhenUsed/>
    <w:pPr>
      <w:spacing w:after="120"/>
    </w:pPr>
    <w:rPr>
      <w:sz w:val="16"/>
      <w:szCs w:val="16"/>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sz w:val="22"/>
      <w:szCs w:val="22"/>
      <w:lang w:val="en-US" w:eastAsia="en-US"/>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pPr>
      <w:ind w:left="720"/>
      <w:contextualSpacing/>
    </w:pPr>
  </w:style>
  <w:style w:type="character" w:customStyle="1" w:styleId="TextoindependienteCar">
    <w:name w:val="Texto independiente Car"/>
    <w:basedOn w:val="Fuentedeprrafopredeter"/>
    <w:link w:val="Textoindependiente"/>
    <w:uiPriority w:val="99"/>
  </w:style>
  <w:style w:type="character" w:customStyle="1" w:styleId="Textoindependiente2Car">
    <w:name w:val="Texto independiente 2 Car"/>
    <w:basedOn w:val="Fuentedeprrafopredeter"/>
    <w:link w:val="Textoindependiente2"/>
    <w:uiPriority w:val="99"/>
  </w:style>
  <w:style w:type="character" w:customStyle="1" w:styleId="Textoindependiente3Car">
    <w:name w:val="Texto independiente 3 Car"/>
    <w:basedOn w:val="Fuentedeprrafopredeter"/>
    <w:link w:val="Textoindependiente3"/>
    <w:uiPriority w:val="99"/>
    <w:rPr>
      <w:sz w:val="16"/>
      <w:szCs w:val="16"/>
    </w:rPr>
  </w:style>
  <w:style w:type="character" w:customStyle="1" w:styleId="TextomacroCar">
    <w:name w:val="Texto macro Car"/>
    <w:basedOn w:val="Fuentedeprrafopredeter"/>
    <w:link w:val="Textomacro"/>
    <w:uiPriority w:val="99"/>
    <w:rPr>
      <w:rFonts w:ascii="Courier" w:hAnsi="Courier"/>
      <w:sz w:val="20"/>
      <w:szCs w:val="20"/>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44061" w:themeColor="accent1" w:themeShade="8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44061" w:themeColor="accent1" w:themeShade="8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sz w:val="20"/>
      <w:szCs w:val="20"/>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customStyle="1" w:styleId="nfasissutil1">
    <w:name w:val="Énfasis sutil1"/>
    <w:basedOn w:val="Fuentedeprrafopredeter"/>
    <w:uiPriority w:val="19"/>
    <w:qFormat/>
    <w:rPr>
      <w:i/>
      <w:iCs/>
      <w:color w:val="7F7F7F" w:themeColor="text1" w:themeTint="80"/>
    </w:rPr>
  </w:style>
  <w:style w:type="character" w:customStyle="1" w:styleId="nfasisintenso1">
    <w:name w:val="Énfasis intenso1"/>
    <w:basedOn w:val="Fuentedeprrafopredeter"/>
    <w:uiPriority w:val="21"/>
    <w:qFormat/>
    <w:rPr>
      <w:b/>
      <w:bCs/>
      <w:i/>
      <w:iCs/>
      <w:color w:val="4F81BD" w:themeColor="accent1"/>
    </w:rPr>
  </w:style>
  <w:style w:type="character" w:customStyle="1" w:styleId="Referenciasutil1">
    <w:name w:val="Referencia sutil1"/>
    <w:basedOn w:val="Fuentedeprrafopredeter"/>
    <w:uiPriority w:val="31"/>
    <w:qFormat/>
    <w:rPr>
      <w:smallCaps/>
      <w:color w:val="C0504D" w:themeColor="accent2"/>
      <w:u w:val="single"/>
    </w:rPr>
  </w:style>
  <w:style w:type="character" w:customStyle="1" w:styleId="Referenciaintensa1">
    <w:name w:val="Referencia intensa1"/>
    <w:basedOn w:val="Fuentedeprrafopredeter"/>
    <w:uiPriority w:val="32"/>
    <w:qFormat/>
    <w:rPr>
      <w:b/>
      <w:bCs/>
      <w:smallCaps/>
      <w:color w:val="C0504D" w:themeColor="accent2"/>
      <w:spacing w:val="5"/>
      <w:u w:val="single"/>
    </w:rPr>
  </w:style>
  <w:style w:type="character" w:customStyle="1" w:styleId="Ttulodellibro1">
    <w:name w:val="Título del libro1"/>
    <w:basedOn w:val="Fuentedeprrafopredeter"/>
    <w:uiPriority w:val="33"/>
    <w:qFormat/>
    <w:rPr>
      <w:b/>
      <w:bCs/>
      <w:smallCaps/>
      <w:spacing w:val="5"/>
    </w:rPr>
  </w:style>
  <w:style w:type="paragraph" w:customStyle="1" w:styleId="TtuloTDC1">
    <w:name w:val="Título TDC1"/>
    <w:basedOn w:val="Ttulo1"/>
    <w:next w:val="Normal"/>
    <w:uiPriority w:val="39"/>
    <w:semiHidden/>
    <w:unhideWhenUsed/>
    <w:qFormat/>
    <w:pPr>
      <w:outlineLvl w:val="9"/>
    </w:pPr>
  </w:style>
  <w:style w:type="table" w:styleId="Sombreadoclaro">
    <w:name w:val="Light Shading"/>
    <w:basedOn w:val="Tabla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Cuadrculaclara-nfasis1">
    <w:name w:val="Light Grid Accent 1"/>
    <w:basedOn w:val="Tabla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Cuadrculaclara-nfasis2">
    <w:name w:val="Light Grid Accent 2"/>
    <w:basedOn w:val="Tabla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Cuadrculaclara-nfasis3">
    <w:name w:val="Light Grid Accent 3"/>
    <w:basedOn w:val="Tabla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Cuadrculaclara-nfasis4">
    <w:name w:val="Light Grid Accent 4"/>
    <w:basedOn w:val="Tabla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Cuadrculaclara-nfasis5">
    <w:name w:val="Light Grid Accent 5"/>
    <w:basedOn w:val="Tabla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Cuadrculaclara-nfasis6">
    <w:name w:val="Light Grid Accent 6"/>
    <w:basedOn w:val="Tabla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Sombreadomedio1">
    <w:name w:val="Medium Shading 1"/>
    <w:basedOn w:val="Tabla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Cuadrculamedia3-nfasis1">
    <w:name w:val="Medium Grid 3 Accent 1"/>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Cuadrculamedia3-nfasis2">
    <w:name w:val="Medium Grid 3 Accent 2"/>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Cuadrculamedia3-nfasis3">
    <w:name w:val="Medium Grid 3 Accent 3"/>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Cuadrculamedia3-nfasis4">
    <w:name w:val="Medium Grid 3 Accent 4"/>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Cuadrculamedia3-nfasis5">
    <w:name w:val="Medium Grid 3 Accent 5"/>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Cuadrculamedia3-nfasis6">
    <w:name w:val="Medium Grid 3 Accent 6"/>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Listaoscura">
    <w:name w:val="Dark List"/>
    <w:basedOn w:val="Tabla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2366</Words>
  <Characters>13019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Gerardo Porras Rueda</cp:lastModifiedBy>
  <cp:revision>3</cp:revision>
  <dcterms:created xsi:type="dcterms:W3CDTF">2013-12-23T23:15:00Z</dcterms:created>
  <dcterms:modified xsi:type="dcterms:W3CDTF">2026-06-02T04:27:00Z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2058-12.1.0.26372</vt:lpwstr>
  </property>
  <property fmtid="{D5CDD505-2E9C-101B-9397-08002B2CF9AE}" pid="3" name="ICV">
    <vt:lpwstr>EFC72899CFD34C02B77DF6EF96B37046_13</vt:lpwstr>
  </property>
</Properties>
</file>