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7CF5A" w14:textId="77777777" w:rsidR="00DF36C6" w:rsidRPr="00DB0044" w:rsidRDefault="00000000" w:rsidP="007466D7">
      <w:pPr>
        <w:widowControl w:val="0"/>
        <w:jc w:val="center"/>
        <w:rPr>
          <w:rFonts w:cs="Arial"/>
          <w:lang w:val="es-CO"/>
        </w:rPr>
      </w:pPr>
      <w:r w:rsidRPr="00DB0044">
        <w:rPr>
          <w:rFonts w:cs="Arial"/>
          <w:b/>
          <w:lang w:val="es-CO"/>
        </w:rPr>
        <w:t>ANEXO TÉCNICO DE INSPECCIÓN, VIGILANCIA Y CONTROL - PHLC</w:t>
      </w:r>
    </w:p>
    <w:p w14:paraId="08CA8D36" w14:textId="6472F9F8" w:rsidR="00DF36C6" w:rsidRPr="00E766FF" w:rsidRDefault="00E766FF" w:rsidP="007466D7">
      <w:pPr>
        <w:widowControl w:val="0"/>
        <w:jc w:val="center"/>
        <w:rPr>
          <w:rFonts w:cs="Arial"/>
          <w:lang w:val="es-CO"/>
        </w:rPr>
      </w:pPr>
      <w:r w:rsidRPr="00E766FF">
        <w:rPr>
          <w:rFonts w:cs="Arial"/>
          <w:b/>
          <w:lang w:val="es-CO"/>
        </w:rPr>
        <w:t>Criterios metodológicos para la revisión documental, valoración administrativa y trazabilidad de procesos de higienización de contenedores vacíos</w:t>
      </w:r>
    </w:p>
    <w:p w14:paraId="5BEAB838" w14:textId="77777777" w:rsidR="00DF36C6" w:rsidRPr="00E766FF" w:rsidRDefault="00DF36C6" w:rsidP="007466D7">
      <w:pPr>
        <w:widowControl w:val="0"/>
        <w:jc w:val="both"/>
        <w:rPr>
          <w:rFonts w:cs="Arial"/>
          <w:lang w:val="es-CO"/>
        </w:rPr>
      </w:pPr>
    </w:p>
    <w:p w14:paraId="56AA168E" w14:textId="77777777" w:rsidR="00DF36C6" w:rsidRPr="00DB0044" w:rsidRDefault="00000000" w:rsidP="007466D7">
      <w:pPr>
        <w:pStyle w:val="Ttulo1"/>
        <w:keepNext w:val="0"/>
        <w:keepLines w:val="0"/>
        <w:widowControl w:val="0"/>
        <w:rPr>
          <w:rFonts w:ascii="Arial" w:hAnsi="Arial" w:cs="Arial"/>
          <w:color w:val="auto"/>
          <w:sz w:val="22"/>
          <w:szCs w:val="22"/>
          <w:lang w:val="es-CO"/>
        </w:rPr>
      </w:pPr>
      <w:r w:rsidRPr="00DB0044">
        <w:rPr>
          <w:rFonts w:ascii="Arial" w:eastAsia="Arial" w:hAnsi="Arial" w:cs="Arial"/>
          <w:color w:val="auto"/>
          <w:sz w:val="22"/>
          <w:szCs w:val="22"/>
          <w:lang w:val="es-CO"/>
        </w:rPr>
        <w:t>1. Naturaleza y alcance del anexo</w:t>
      </w:r>
    </w:p>
    <w:p w14:paraId="5390A058" w14:textId="77777777" w:rsidR="00DB0044" w:rsidRPr="00DB0044" w:rsidRDefault="00DB0044" w:rsidP="007466D7">
      <w:pPr>
        <w:widowControl w:val="0"/>
        <w:jc w:val="both"/>
        <w:rPr>
          <w:rFonts w:cs="Arial"/>
          <w:lang w:val="es-CO"/>
        </w:rPr>
      </w:pPr>
    </w:p>
    <w:p w14:paraId="56303A19" w14:textId="4EABD170" w:rsidR="00DF36C6" w:rsidRPr="00DB0044" w:rsidRDefault="0056308E" w:rsidP="007466D7">
      <w:pPr>
        <w:widowControl w:val="0"/>
        <w:jc w:val="both"/>
        <w:rPr>
          <w:rFonts w:cs="Arial"/>
          <w:lang w:val="es-CO"/>
        </w:rPr>
      </w:pPr>
      <w:r w:rsidRPr="0056308E">
        <w:rPr>
          <w:rFonts w:cs="Arial"/>
          <w:lang w:val="es-CO"/>
        </w:rPr>
        <w:t>El presente anexo técnico desarrolla criterios, reglas y pautas metodológicas para orientar la revisión documental, la documentación de la actuación, la valoración administrativa y la trazabilidad que adelante la Superintendencia de Transporte respecto de los procesos comprendidos en la resolución de la cual forma parte</w:t>
      </w:r>
      <w:r w:rsidRPr="00DB0044">
        <w:rPr>
          <w:rFonts w:cs="Arial"/>
          <w:lang w:val="es-CO"/>
        </w:rPr>
        <w:t>.</w:t>
      </w:r>
    </w:p>
    <w:p w14:paraId="15C9C32C" w14:textId="77777777" w:rsidR="00DB0044" w:rsidRPr="00DB0044" w:rsidRDefault="00DB0044" w:rsidP="007466D7">
      <w:pPr>
        <w:widowControl w:val="0"/>
        <w:jc w:val="both"/>
        <w:rPr>
          <w:rFonts w:cs="Arial"/>
          <w:lang w:val="es-CO"/>
        </w:rPr>
      </w:pPr>
    </w:p>
    <w:p w14:paraId="1331BC3C" w14:textId="6E64381E" w:rsidR="00DF36C6" w:rsidRPr="00DB0044" w:rsidRDefault="00000000" w:rsidP="007466D7">
      <w:pPr>
        <w:widowControl w:val="0"/>
        <w:jc w:val="both"/>
        <w:rPr>
          <w:rFonts w:cs="Arial"/>
          <w:lang w:val="es-CO"/>
        </w:rPr>
      </w:pPr>
      <w:r w:rsidRPr="00DB0044">
        <w:rPr>
          <w:rFonts w:cs="Arial"/>
          <w:lang w:val="es-CO"/>
        </w:rPr>
        <w:t>Su contenido debe interpretarse en armonía con el objeto, ámbito de aplicación, definiciones, límites, principios y reglas de la resolución. En consecuencia, no constituye protocolo de validación sanitaria, fitosanitaria, ambiental, microbiológica, de inocuidad o técnica; no opera como esquema de certificación, homologación o evaluación de eficacia; y no habilita la imposición directa o indirecta de tecnologías, métodos, sustancias, equipos, proveedores o soluciones específicas.</w:t>
      </w:r>
    </w:p>
    <w:p w14:paraId="5E5B7B3E" w14:textId="77777777" w:rsidR="00DB0044" w:rsidRPr="00DB0044" w:rsidRDefault="00DB0044" w:rsidP="007466D7">
      <w:pPr>
        <w:widowControl w:val="0"/>
        <w:jc w:val="both"/>
        <w:rPr>
          <w:rFonts w:cs="Arial"/>
          <w:lang w:val="es-CO"/>
        </w:rPr>
      </w:pPr>
    </w:p>
    <w:p w14:paraId="760EF387" w14:textId="77777777" w:rsidR="00DF36C6" w:rsidRPr="00DB0044" w:rsidRDefault="00000000" w:rsidP="007466D7">
      <w:pPr>
        <w:widowControl w:val="0"/>
        <w:jc w:val="both"/>
        <w:rPr>
          <w:rFonts w:cs="Arial"/>
          <w:lang w:val="es-CO"/>
        </w:rPr>
      </w:pPr>
      <w:r w:rsidRPr="00DB0044">
        <w:rPr>
          <w:rFonts w:cs="Arial"/>
          <w:lang w:val="es-CO"/>
        </w:rPr>
        <w:t>Este anexo no desarrolla una metodología de higienización. Desarrolla criterios metodológicos de verificación administrativa para revisar documentación, trazabilidad, conservación, disponibilidad de evidencia y reconstrucción documental de una práctica operativa documentable en el entorno portuario.</w:t>
      </w:r>
    </w:p>
    <w:p w14:paraId="2014E8FA" w14:textId="77777777" w:rsidR="00DB0044" w:rsidRPr="00DB0044" w:rsidRDefault="00DB0044" w:rsidP="007466D7">
      <w:pPr>
        <w:widowControl w:val="0"/>
        <w:jc w:val="both"/>
        <w:rPr>
          <w:rFonts w:cs="Arial"/>
          <w:lang w:val="es-CO"/>
        </w:rPr>
      </w:pPr>
    </w:p>
    <w:p w14:paraId="36A188EA" w14:textId="7693D30F" w:rsidR="00DF36C6" w:rsidRPr="00DB0044" w:rsidRDefault="00000000" w:rsidP="007466D7">
      <w:pPr>
        <w:widowControl w:val="0"/>
        <w:jc w:val="both"/>
        <w:rPr>
          <w:rFonts w:cs="Arial"/>
          <w:lang w:val="es-CO"/>
        </w:rPr>
      </w:pPr>
      <w:r w:rsidRPr="00DB0044">
        <w:rPr>
          <w:rFonts w:cs="Arial"/>
          <w:lang w:val="es-CO"/>
        </w:rPr>
        <w:t>El anexo no crea obligaciones autónomas, no amplía el ámbito de aplicación de la resolución, no modifica sujetos responsables, no establece parámetros de eficacia y no puede utilizarse como fundamento independiente para exigir requisitos, soportes, condiciones o cargas no previstos expresamente en el acto principal.</w:t>
      </w:r>
    </w:p>
    <w:p w14:paraId="28AC8359" w14:textId="77777777" w:rsidR="00DB0044" w:rsidRPr="00DB0044" w:rsidRDefault="00DB0044" w:rsidP="007466D7">
      <w:pPr>
        <w:widowControl w:val="0"/>
        <w:jc w:val="both"/>
        <w:rPr>
          <w:rFonts w:cs="Arial"/>
          <w:lang w:val="es-CO"/>
        </w:rPr>
      </w:pPr>
    </w:p>
    <w:p w14:paraId="6E0E510C" w14:textId="77777777" w:rsidR="00DF36C6" w:rsidRPr="00DB0044" w:rsidRDefault="00000000" w:rsidP="007466D7">
      <w:pPr>
        <w:widowControl w:val="0"/>
        <w:jc w:val="both"/>
        <w:rPr>
          <w:rFonts w:cs="Arial"/>
          <w:lang w:val="es-CO"/>
        </w:rPr>
      </w:pPr>
      <w:r w:rsidRPr="00DB0044">
        <w:rPr>
          <w:rFonts w:cs="Arial"/>
          <w:lang w:val="es-CO"/>
        </w:rPr>
        <w:t>No resulta aplicable a contenedores llenos, mercancías específicas, segmentos de carga, etapas logísticas integrales, operaciones aduaneras, tratamientos sanitarios o fitosanitarios de mercancías, tratamientos cuarentenarios, inocuidad, bioseguridad, control de plagas, salud pública o escenarios propios de autoridades sectoriales especializadas.</w:t>
      </w:r>
    </w:p>
    <w:p w14:paraId="5EA482E1" w14:textId="77777777" w:rsidR="00DB0044" w:rsidRPr="00DB0044" w:rsidRDefault="00DB0044" w:rsidP="007466D7">
      <w:pPr>
        <w:widowControl w:val="0"/>
        <w:jc w:val="both"/>
        <w:rPr>
          <w:rFonts w:cs="Arial"/>
          <w:lang w:val="es-CO"/>
        </w:rPr>
      </w:pPr>
    </w:p>
    <w:p w14:paraId="3648239C" w14:textId="79098729" w:rsidR="00DF36C6" w:rsidRPr="00E766FF" w:rsidRDefault="00000000" w:rsidP="007466D7">
      <w:pPr>
        <w:pStyle w:val="Ttulo1"/>
        <w:keepNext w:val="0"/>
        <w:keepLines w:val="0"/>
        <w:widowControl w:val="0"/>
        <w:rPr>
          <w:rFonts w:ascii="Arial" w:hAnsi="Arial" w:cs="Arial"/>
          <w:bCs w:val="0"/>
          <w:color w:val="auto"/>
          <w:sz w:val="22"/>
          <w:szCs w:val="22"/>
          <w:lang w:val="es-CO"/>
        </w:rPr>
      </w:pPr>
      <w:r w:rsidRPr="00E766FF">
        <w:rPr>
          <w:rFonts w:ascii="Arial" w:eastAsia="Arial" w:hAnsi="Arial" w:cs="Arial"/>
          <w:bCs w:val="0"/>
          <w:color w:val="auto"/>
          <w:sz w:val="22"/>
          <w:szCs w:val="22"/>
          <w:lang w:val="es-CO"/>
        </w:rPr>
        <w:t xml:space="preserve">2. </w:t>
      </w:r>
      <w:r w:rsidR="00E766FF" w:rsidRPr="00E766FF">
        <w:rPr>
          <w:rFonts w:ascii="Arial" w:eastAsia="Arial" w:hAnsi="Arial" w:cs="Arial"/>
          <w:bCs w:val="0"/>
          <w:color w:val="auto"/>
          <w:sz w:val="22"/>
          <w:szCs w:val="22"/>
          <w:lang w:val="es-CO"/>
        </w:rPr>
        <w:t>Secuencia funcional de aplicación del anexo</w:t>
      </w:r>
    </w:p>
    <w:p w14:paraId="2A580928" w14:textId="77777777" w:rsidR="00DB0044" w:rsidRPr="00DB0044" w:rsidRDefault="00DB0044" w:rsidP="007466D7">
      <w:pPr>
        <w:widowControl w:val="0"/>
        <w:jc w:val="both"/>
        <w:rPr>
          <w:rFonts w:cs="Arial"/>
          <w:lang w:val="es-CO"/>
        </w:rPr>
      </w:pPr>
    </w:p>
    <w:p w14:paraId="088AE108" w14:textId="683DEA72" w:rsidR="00DF36C6" w:rsidRPr="00DB0044" w:rsidRDefault="00000000" w:rsidP="007466D7">
      <w:pPr>
        <w:widowControl w:val="0"/>
        <w:jc w:val="both"/>
        <w:rPr>
          <w:rFonts w:cs="Arial"/>
          <w:lang w:val="es-CO"/>
        </w:rPr>
      </w:pPr>
      <w:r w:rsidRPr="00DB0044">
        <w:rPr>
          <w:rFonts w:cs="Arial"/>
          <w:lang w:val="es-CO"/>
        </w:rPr>
        <w:t>Para facilitar la aplicación homogénea del instrumento, el presente anexo se desarrolla a partir de una secuencia lógica de verificación. Esta secuencia no reemplaza la resolución ni crea obligaciones autónomas; sirve como guía metodológica para identificar cuándo aplica el instrumento, qué evidencia se revisa y hasta dónde llega la actuación administrativa de la Superintendencia.</w:t>
      </w:r>
    </w:p>
    <w:p w14:paraId="303AE908" w14:textId="77777777" w:rsidR="00DB0044" w:rsidRPr="00DB0044" w:rsidRDefault="00DB0044" w:rsidP="007466D7">
      <w:pPr>
        <w:widowControl w:val="0"/>
        <w:jc w:val="both"/>
        <w:rPr>
          <w:rFonts w:cs="Arial"/>
          <w:lang w:val="es-CO"/>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
        <w:gridCol w:w="4028"/>
        <w:gridCol w:w="5018"/>
      </w:tblGrid>
      <w:tr w:rsidR="00DF36C6" w:rsidRPr="00DB0044" w14:paraId="08961A79" w14:textId="77777777" w:rsidTr="00DB0044">
        <w:trPr>
          <w:jc w:val="center"/>
        </w:trPr>
        <w:tc>
          <w:tcPr>
            <w:tcW w:w="890" w:type="dxa"/>
            <w:vAlign w:val="center"/>
          </w:tcPr>
          <w:p w14:paraId="52E79CB6" w14:textId="77777777" w:rsidR="00DF36C6" w:rsidRPr="00DB0044" w:rsidRDefault="00000000" w:rsidP="007466D7">
            <w:pPr>
              <w:widowControl w:val="0"/>
              <w:jc w:val="center"/>
              <w:rPr>
                <w:rFonts w:cs="Arial"/>
              </w:rPr>
            </w:pPr>
            <w:r w:rsidRPr="00DB0044">
              <w:rPr>
                <w:rFonts w:cs="Arial"/>
                <w:b/>
              </w:rPr>
              <w:t>Paso</w:t>
            </w:r>
          </w:p>
        </w:tc>
        <w:tc>
          <w:tcPr>
            <w:tcW w:w="4028" w:type="dxa"/>
            <w:vAlign w:val="center"/>
          </w:tcPr>
          <w:p w14:paraId="1A73E3C9" w14:textId="184523AE" w:rsidR="00DF36C6" w:rsidRPr="00DB0044" w:rsidRDefault="00E766FF" w:rsidP="007466D7">
            <w:pPr>
              <w:widowControl w:val="0"/>
              <w:jc w:val="center"/>
              <w:rPr>
                <w:rFonts w:cs="Arial"/>
              </w:rPr>
            </w:pPr>
            <w:proofErr w:type="spellStart"/>
            <w:r w:rsidRPr="00E766FF">
              <w:rPr>
                <w:rFonts w:cs="Arial"/>
                <w:b/>
              </w:rPr>
              <w:t>Criterio</w:t>
            </w:r>
            <w:proofErr w:type="spellEnd"/>
            <w:r w:rsidRPr="00E766FF">
              <w:rPr>
                <w:rFonts w:cs="Arial"/>
                <w:b/>
              </w:rPr>
              <w:t xml:space="preserve"> de </w:t>
            </w:r>
            <w:proofErr w:type="spellStart"/>
            <w:r w:rsidRPr="00E766FF">
              <w:rPr>
                <w:rFonts w:cs="Arial"/>
                <w:b/>
              </w:rPr>
              <w:t>aplicación</w:t>
            </w:r>
            <w:proofErr w:type="spellEnd"/>
          </w:p>
        </w:tc>
        <w:tc>
          <w:tcPr>
            <w:tcW w:w="5018" w:type="dxa"/>
            <w:vAlign w:val="center"/>
          </w:tcPr>
          <w:p w14:paraId="6AF65E8C" w14:textId="77777777" w:rsidR="00DF36C6" w:rsidRPr="00DB0044" w:rsidRDefault="00000000" w:rsidP="007466D7">
            <w:pPr>
              <w:widowControl w:val="0"/>
              <w:jc w:val="center"/>
              <w:rPr>
                <w:rFonts w:cs="Arial"/>
              </w:rPr>
            </w:pPr>
            <w:proofErr w:type="spellStart"/>
            <w:r w:rsidRPr="00DB0044">
              <w:rPr>
                <w:rFonts w:cs="Arial"/>
                <w:b/>
              </w:rPr>
              <w:t>Alcance</w:t>
            </w:r>
            <w:proofErr w:type="spellEnd"/>
            <w:r w:rsidRPr="00DB0044">
              <w:rPr>
                <w:rFonts w:cs="Arial"/>
                <w:b/>
              </w:rPr>
              <w:t xml:space="preserve"> y </w:t>
            </w:r>
            <w:proofErr w:type="spellStart"/>
            <w:r w:rsidRPr="00DB0044">
              <w:rPr>
                <w:rFonts w:cs="Arial"/>
                <w:b/>
              </w:rPr>
              <w:t>límite</w:t>
            </w:r>
            <w:proofErr w:type="spellEnd"/>
          </w:p>
        </w:tc>
      </w:tr>
      <w:tr w:rsidR="00DF36C6" w:rsidRPr="000A7C8B" w14:paraId="7035101A" w14:textId="77777777" w:rsidTr="00DB0044">
        <w:trPr>
          <w:jc w:val="center"/>
        </w:trPr>
        <w:tc>
          <w:tcPr>
            <w:tcW w:w="890" w:type="dxa"/>
            <w:vAlign w:val="center"/>
          </w:tcPr>
          <w:p w14:paraId="01823FF2" w14:textId="77777777" w:rsidR="00DF36C6" w:rsidRPr="00DB0044" w:rsidRDefault="00000000" w:rsidP="007466D7">
            <w:pPr>
              <w:widowControl w:val="0"/>
              <w:jc w:val="center"/>
              <w:rPr>
                <w:rFonts w:cs="Arial"/>
              </w:rPr>
            </w:pPr>
            <w:r w:rsidRPr="00DB0044">
              <w:rPr>
                <w:rFonts w:cs="Arial"/>
              </w:rPr>
              <w:t>1</w:t>
            </w:r>
          </w:p>
        </w:tc>
        <w:tc>
          <w:tcPr>
            <w:tcW w:w="4028" w:type="dxa"/>
            <w:vAlign w:val="center"/>
          </w:tcPr>
          <w:p w14:paraId="7CDBCBED" w14:textId="77777777" w:rsidR="00DF36C6" w:rsidRPr="00DB0044" w:rsidRDefault="00000000" w:rsidP="007466D7">
            <w:pPr>
              <w:widowControl w:val="0"/>
              <w:jc w:val="both"/>
              <w:rPr>
                <w:rFonts w:cs="Arial"/>
                <w:lang w:val="es-CO"/>
              </w:rPr>
            </w:pPr>
            <w:r w:rsidRPr="00DB0044">
              <w:rPr>
                <w:rFonts w:cs="Arial"/>
                <w:lang w:val="es-CO"/>
              </w:rPr>
              <w:t>¿Existe un proceso aplicado a contenedor vacío?</w:t>
            </w:r>
          </w:p>
        </w:tc>
        <w:tc>
          <w:tcPr>
            <w:tcW w:w="5018" w:type="dxa"/>
            <w:vAlign w:val="center"/>
          </w:tcPr>
          <w:p w14:paraId="172B38F7" w14:textId="3765CFA5" w:rsidR="00DF36C6" w:rsidRPr="00E766FF" w:rsidRDefault="00E766FF" w:rsidP="007466D7">
            <w:pPr>
              <w:widowControl w:val="0"/>
              <w:jc w:val="both"/>
              <w:rPr>
                <w:rFonts w:cs="Arial"/>
                <w:lang w:val="es-CO"/>
              </w:rPr>
            </w:pPr>
            <w:r w:rsidRPr="00E766FF">
              <w:rPr>
                <w:rFonts w:cs="Arial"/>
                <w:lang w:val="es-CO"/>
              </w:rPr>
              <w:t>Si el proceso recae sobre contenedor lleno, mercancía, carga determinada o actividad no asociada a contenedor vacío, no aplica este instrumento.</w:t>
            </w:r>
          </w:p>
        </w:tc>
      </w:tr>
      <w:tr w:rsidR="00DF36C6" w:rsidRPr="000A7C8B" w14:paraId="39FAF82D" w14:textId="77777777" w:rsidTr="00DB0044">
        <w:trPr>
          <w:jc w:val="center"/>
        </w:trPr>
        <w:tc>
          <w:tcPr>
            <w:tcW w:w="890" w:type="dxa"/>
            <w:vAlign w:val="center"/>
          </w:tcPr>
          <w:p w14:paraId="3EB7B460" w14:textId="77777777" w:rsidR="00DF36C6" w:rsidRPr="00DB0044" w:rsidRDefault="00000000" w:rsidP="007466D7">
            <w:pPr>
              <w:widowControl w:val="0"/>
              <w:jc w:val="center"/>
              <w:rPr>
                <w:rFonts w:cs="Arial"/>
              </w:rPr>
            </w:pPr>
            <w:r w:rsidRPr="00DB0044">
              <w:rPr>
                <w:rFonts w:cs="Arial"/>
              </w:rPr>
              <w:t>2</w:t>
            </w:r>
          </w:p>
        </w:tc>
        <w:tc>
          <w:tcPr>
            <w:tcW w:w="4028" w:type="dxa"/>
            <w:vAlign w:val="center"/>
          </w:tcPr>
          <w:p w14:paraId="288F9554" w14:textId="77777777" w:rsidR="00DF36C6" w:rsidRPr="00DB0044" w:rsidRDefault="00000000" w:rsidP="007466D7">
            <w:pPr>
              <w:widowControl w:val="0"/>
              <w:jc w:val="both"/>
              <w:rPr>
                <w:rFonts w:cs="Arial"/>
                <w:lang w:val="es-CO"/>
              </w:rPr>
            </w:pPr>
            <w:r w:rsidRPr="00DB0044">
              <w:rPr>
                <w:rFonts w:cs="Arial"/>
                <w:lang w:val="es-CO"/>
              </w:rPr>
              <w:t>¿El proceso ocurre o se documenta en instalación portuaria o zona logística funcionalmente asociada?</w:t>
            </w:r>
          </w:p>
        </w:tc>
        <w:tc>
          <w:tcPr>
            <w:tcW w:w="5018" w:type="dxa"/>
            <w:vAlign w:val="center"/>
          </w:tcPr>
          <w:p w14:paraId="276071D0" w14:textId="77777777" w:rsidR="00DF36C6" w:rsidRPr="00DB0044" w:rsidRDefault="00000000" w:rsidP="007466D7">
            <w:pPr>
              <w:widowControl w:val="0"/>
              <w:jc w:val="both"/>
              <w:rPr>
                <w:rFonts w:cs="Arial"/>
                <w:lang w:val="es-CO"/>
              </w:rPr>
            </w:pPr>
            <w:r w:rsidRPr="00DB0044">
              <w:rPr>
                <w:rFonts w:cs="Arial"/>
                <w:lang w:val="es-CO"/>
              </w:rPr>
              <w:t>Si no existe relación funcional con operación portuaria o logística asociada, no se activa el instrumento.</w:t>
            </w:r>
          </w:p>
        </w:tc>
      </w:tr>
      <w:tr w:rsidR="00DF36C6" w:rsidRPr="000A7C8B" w14:paraId="13323283" w14:textId="77777777" w:rsidTr="00DB0044">
        <w:trPr>
          <w:jc w:val="center"/>
        </w:trPr>
        <w:tc>
          <w:tcPr>
            <w:tcW w:w="890" w:type="dxa"/>
            <w:vAlign w:val="center"/>
          </w:tcPr>
          <w:p w14:paraId="6C0FB85A" w14:textId="77777777" w:rsidR="00DF36C6" w:rsidRPr="00DB0044" w:rsidRDefault="00000000" w:rsidP="007466D7">
            <w:pPr>
              <w:widowControl w:val="0"/>
              <w:jc w:val="center"/>
              <w:rPr>
                <w:rFonts w:cs="Arial"/>
              </w:rPr>
            </w:pPr>
            <w:r w:rsidRPr="00DB0044">
              <w:rPr>
                <w:rFonts w:cs="Arial"/>
              </w:rPr>
              <w:t>3</w:t>
            </w:r>
          </w:p>
        </w:tc>
        <w:tc>
          <w:tcPr>
            <w:tcW w:w="4028" w:type="dxa"/>
            <w:vAlign w:val="center"/>
          </w:tcPr>
          <w:p w14:paraId="32204504" w14:textId="77777777" w:rsidR="00DF36C6" w:rsidRPr="00DB0044" w:rsidRDefault="00000000" w:rsidP="007466D7">
            <w:pPr>
              <w:widowControl w:val="0"/>
              <w:jc w:val="both"/>
              <w:rPr>
                <w:rFonts w:cs="Arial"/>
                <w:lang w:val="es-CO"/>
              </w:rPr>
            </w:pPr>
            <w:r w:rsidRPr="00DB0044">
              <w:rPr>
                <w:rFonts w:cs="Arial"/>
                <w:lang w:val="es-CO"/>
              </w:rPr>
              <w:t>¿Existe sujeto sometido a IVC de la Superintendencia?</w:t>
            </w:r>
          </w:p>
        </w:tc>
        <w:tc>
          <w:tcPr>
            <w:tcW w:w="5018" w:type="dxa"/>
            <w:vAlign w:val="center"/>
          </w:tcPr>
          <w:p w14:paraId="1B0468B9" w14:textId="77777777" w:rsidR="00DF36C6" w:rsidRPr="00DB0044" w:rsidRDefault="00000000" w:rsidP="007466D7">
            <w:pPr>
              <w:widowControl w:val="0"/>
              <w:jc w:val="both"/>
              <w:rPr>
                <w:rFonts w:cs="Arial"/>
                <w:lang w:val="es-CO"/>
              </w:rPr>
            </w:pPr>
            <w:r w:rsidRPr="00DB0044">
              <w:rPr>
                <w:rFonts w:cs="Arial"/>
                <w:lang w:val="es-CO"/>
              </w:rPr>
              <w:t>La obligación documental se exige según rol e información bajo control, custodia, administración o disponibilidad razonable.</w:t>
            </w:r>
          </w:p>
        </w:tc>
      </w:tr>
      <w:tr w:rsidR="00DF36C6" w:rsidRPr="000A7C8B" w14:paraId="14AB54DF" w14:textId="77777777" w:rsidTr="00DB0044">
        <w:trPr>
          <w:jc w:val="center"/>
        </w:trPr>
        <w:tc>
          <w:tcPr>
            <w:tcW w:w="890" w:type="dxa"/>
            <w:vAlign w:val="center"/>
          </w:tcPr>
          <w:p w14:paraId="07C89300" w14:textId="77777777" w:rsidR="00DF36C6" w:rsidRPr="00DB0044" w:rsidRDefault="00000000" w:rsidP="007466D7">
            <w:pPr>
              <w:widowControl w:val="0"/>
              <w:jc w:val="center"/>
              <w:rPr>
                <w:rFonts w:cs="Arial"/>
              </w:rPr>
            </w:pPr>
            <w:r w:rsidRPr="00DB0044">
              <w:rPr>
                <w:rFonts w:cs="Arial"/>
              </w:rPr>
              <w:t>4</w:t>
            </w:r>
          </w:p>
        </w:tc>
        <w:tc>
          <w:tcPr>
            <w:tcW w:w="4028" w:type="dxa"/>
            <w:vAlign w:val="center"/>
          </w:tcPr>
          <w:p w14:paraId="34BC1E73" w14:textId="77777777" w:rsidR="00DF36C6" w:rsidRPr="00DB0044" w:rsidRDefault="00000000" w:rsidP="007466D7">
            <w:pPr>
              <w:widowControl w:val="0"/>
              <w:jc w:val="both"/>
              <w:rPr>
                <w:rFonts w:cs="Arial"/>
              </w:rPr>
            </w:pPr>
            <w:r w:rsidRPr="00DB0044">
              <w:rPr>
                <w:rFonts w:cs="Arial"/>
              </w:rPr>
              <w:t xml:space="preserve">¿Hay </w:t>
            </w:r>
            <w:proofErr w:type="spellStart"/>
            <w:r w:rsidRPr="00DB0044">
              <w:rPr>
                <w:rFonts w:cs="Arial"/>
              </w:rPr>
              <w:t>evidencia</w:t>
            </w:r>
            <w:proofErr w:type="spellEnd"/>
            <w:r w:rsidRPr="00DB0044">
              <w:rPr>
                <w:rFonts w:cs="Arial"/>
              </w:rPr>
              <w:t xml:space="preserve"> </w:t>
            </w:r>
            <w:proofErr w:type="spellStart"/>
            <w:r w:rsidRPr="00DB0044">
              <w:rPr>
                <w:rFonts w:cs="Arial"/>
              </w:rPr>
              <w:t>mínima</w:t>
            </w:r>
            <w:proofErr w:type="spellEnd"/>
            <w:r w:rsidRPr="00DB0044">
              <w:rPr>
                <w:rFonts w:cs="Arial"/>
              </w:rPr>
              <w:t xml:space="preserve"> </w:t>
            </w:r>
            <w:proofErr w:type="spellStart"/>
            <w:r w:rsidRPr="00DB0044">
              <w:rPr>
                <w:rFonts w:cs="Arial"/>
              </w:rPr>
              <w:t>verificable</w:t>
            </w:r>
            <w:proofErr w:type="spellEnd"/>
            <w:r w:rsidRPr="00DB0044">
              <w:rPr>
                <w:rFonts w:cs="Arial"/>
              </w:rPr>
              <w:t>?</w:t>
            </w:r>
          </w:p>
        </w:tc>
        <w:tc>
          <w:tcPr>
            <w:tcW w:w="5018" w:type="dxa"/>
            <w:vAlign w:val="center"/>
          </w:tcPr>
          <w:p w14:paraId="2FE8E524" w14:textId="77777777" w:rsidR="00DF36C6" w:rsidRPr="00DB0044" w:rsidRDefault="00000000" w:rsidP="007466D7">
            <w:pPr>
              <w:widowControl w:val="0"/>
              <w:jc w:val="both"/>
              <w:rPr>
                <w:rFonts w:cs="Arial"/>
                <w:lang w:val="es-CO"/>
              </w:rPr>
            </w:pPr>
            <w:r w:rsidRPr="00DB0044">
              <w:rPr>
                <w:rFonts w:cs="Arial"/>
                <w:lang w:val="es-CO"/>
              </w:rPr>
              <w:t xml:space="preserve">Se revisa identificación del contenedor, fecha, lugar, responsable, secuencia básica, </w:t>
            </w:r>
            <w:r w:rsidRPr="00DB0044">
              <w:rPr>
                <w:rFonts w:cs="Arial"/>
                <w:lang w:val="es-CO"/>
              </w:rPr>
              <w:lastRenderedPageBreak/>
              <w:t>contingencias y cierre documental.</w:t>
            </w:r>
          </w:p>
        </w:tc>
      </w:tr>
      <w:tr w:rsidR="00DF36C6" w:rsidRPr="000A7C8B" w14:paraId="1C628659" w14:textId="77777777" w:rsidTr="00DB0044">
        <w:trPr>
          <w:jc w:val="center"/>
        </w:trPr>
        <w:tc>
          <w:tcPr>
            <w:tcW w:w="890" w:type="dxa"/>
            <w:vAlign w:val="center"/>
          </w:tcPr>
          <w:p w14:paraId="0BE3AABC" w14:textId="77777777" w:rsidR="00DF36C6" w:rsidRPr="00DB0044" w:rsidRDefault="00000000" w:rsidP="007466D7">
            <w:pPr>
              <w:widowControl w:val="0"/>
              <w:jc w:val="center"/>
              <w:rPr>
                <w:rFonts w:cs="Arial"/>
              </w:rPr>
            </w:pPr>
            <w:r w:rsidRPr="00DB0044">
              <w:rPr>
                <w:rFonts w:cs="Arial"/>
              </w:rPr>
              <w:lastRenderedPageBreak/>
              <w:t>5</w:t>
            </w:r>
          </w:p>
        </w:tc>
        <w:tc>
          <w:tcPr>
            <w:tcW w:w="4028" w:type="dxa"/>
            <w:vAlign w:val="center"/>
          </w:tcPr>
          <w:p w14:paraId="381998DB" w14:textId="77777777" w:rsidR="00DF36C6" w:rsidRPr="00DB0044" w:rsidRDefault="00000000" w:rsidP="007466D7">
            <w:pPr>
              <w:widowControl w:val="0"/>
              <w:jc w:val="both"/>
              <w:rPr>
                <w:rFonts w:cs="Arial"/>
                <w:lang w:val="es-CO"/>
              </w:rPr>
            </w:pPr>
            <w:r w:rsidRPr="00DB0044">
              <w:rPr>
                <w:rFonts w:cs="Arial"/>
                <w:lang w:val="es-CO"/>
              </w:rPr>
              <w:t>¿La evidencia permite reconstrucción administrativa?</w:t>
            </w:r>
          </w:p>
        </w:tc>
        <w:tc>
          <w:tcPr>
            <w:tcW w:w="5018" w:type="dxa"/>
            <w:vAlign w:val="center"/>
          </w:tcPr>
          <w:p w14:paraId="4909E9FE" w14:textId="5275E420" w:rsidR="00DF36C6" w:rsidRPr="0056308E" w:rsidRDefault="0056308E" w:rsidP="007466D7">
            <w:pPr>
              <w:widowControl w:val="0"/>
              <w:jc w:val="both"/>
              <w:rPr>
                <w:rFonts w:cs="Arial"/>
                <w:lang w:val="es-CO"/>
              </w:rPr>
            </w:pPr>
            <w:r w:rsidRPr="0056308E">
              <w:rPr>
                <w:rFonts w:cs="Arial"/>
                <w:lang w:val="es-CO"/>
              </w:rPr>
              <w:t>La conclusión se limita al grado de verificabilidad administrativa de la evidencia disponible, conforme a los criterios previstos en el presente anexo y, cuando aplique, en la herramienta operativa correspondiente, sin generar resultados automáticos de aprobación, rechazo, certificación o liberación.</w:t>
            </w:r>
          </w:p>
        </w:tc>
      </w:tr>
      <w:tr w:rsidR="00DF36C6" w:rsidRPr="000A7C8B" w14:paraId="16FD6234" w14:textId="77777777" w:rsidTr="00DB0044">
        <w:trPr>
          <w:jc w:val="center"/>
        </w:trPr>
        <w:tc>
          <w:tcPr>
            <w:tcW w:w="890" w:type="dxa"/>
            <w:vAlign w:val="center"/>
          </w:tcPr>
          <w:p w14:paraId="0AC8CC57" w14:textId="77777777" w:rsidR="00DF36C6" w:rsidRPr="00DB0044" w:rsidRDefault="00000000" w:rsidP="007466D7">
            <w:pPr>
              <w:widowControl w:val="0"/>
              <w:jc w:val="center"/>
              <w:rPr>
                <w:rFonts w:cs="Arial"/>
              </w:rPr>
            </w:pPr>
            <w:r w:rsidRPr="00DB0044">
              <w:rPr>
                <w:rFonts w:cs="Arial"/>
              </w:rPr>
              <w:t>6</w:t>
            </w:r>
          </w:p>
        </w:tc>
        <w:tc>
          <w:tcPr>
            <w:tcW w:w="4028" w:type="dxa"/>
            <w:vAlign w:val="center"/>
          </w:tcPr>
          <w:p w14:paraId="5453EE6F" w14:textId="23C4E60C" w:rsidR="00DF36C6" w:rsidRPr="00E766FF" w:rsidRDefault="00E766FF" w:rsidP="007466D7">
            <w:pPr>
              <w:widowControl w:val="0"/>
              <w:jc w:val="both"/>
              <w:rPr>
                <w:rFonts w:cs="Arial"/>
                <w:lang w:val="es-CO"/>
              </w:rPr>
            </w:pPr>
            <w:r w:rsidRPr="00E766FF">
              <w:rPr>
                <w:rFonts w:cs="Arial"/>
                <w:lang w:val="es-CO"/>
              </w:rPr>
              <w:t>¿Se identifica información que pueda corresponder a otra autoridad competente?</w:t>
            </w:r>
          </w:p>
        </w:tc>
        <w:tc>
          <w:tcPr>
            <w:tcW w:w="5018" w:type="dxa"/>
            <w:vAlign w:val="center"/>
          </w:tcPr>
          <w:p w14:paraId="32EF0772" w14:textId="314E2615" w:rsidR="00DF36C6" w:rsidRPr="00E766FF" w:rsidRDefault="00E766FF" w:rsidP="007466D7">
            <w:pPr>
              <w:widowControl w:val="0"/>
              <w:jc w:val="both"/>
              <w:rPr>
                <w:rFonts w:cs="Arial"/>
                <w:lang w:val="es-CO"/>
              </w:rPr>
            </w:pPr>
            <w:r w:rsidRPr="00E766FF">
              <w:rPr>
                <w:rFonts w:cs="Arial"/>
                <w:lang w:val="es-CO"/>
              </w:rPr>
              <w:t>La Superintendencia podrá comunicar o remitir la información, sin prejuzgar, calificar técnicamente, validar, certificar o emitir pronunciamiento de fondo sobre materias ajenas a su competencia.</w:t>
            </w:r>
          </w:p>
        </w:tc>
      </w:tr>
      <w:tr w:rsidR="00DF36C6" w:rsidRPr="000A7C8B" w14:paraId="12673752" w14:textId="77777777" w:rsidTr="00DB0044">
        <w:trPr>
          <w:jc w:val="center"/>
        </w:trPr>
        <w:tc>
          <w:tcPr>
            <w:tcW w:w="890" w:type="dxa"/>
            <w:vAlign w:val="center"/>
          </w:tcPr>
          <w:p w14:paraId="11AD2ACD" w14:textId="77777777" w:rsidR="00DF36C6" w:rsidRPr="00DB0044" w:rsidRDefault="00000000" w:rsidP="007466D7">
            <w:pPr>
              <w:widowControl w:val="0"/>
              <w:jc w:val="center"/>
              <w:rPr>
                <w:rFonts w:cs="Arial"/>
              </w:rPr>
            </w:pPr>
            <w:r w:rsidRPr="00DB0044">
              <w:rPr>
                <w:rFonts w:cs="Arial"/>
              </w:rPr>
              <w:t>7</w:t>
            </w:r>
          </w:p>
        </w:tc>
        <w:tc>
          <w:tcPr>
            <w:tcW w:w="4028" w:type="dxa"/>
            <w:vAlign w:val="center"/>
          </w:tcPr>
          <w:p w14:paraId="3B4FC002" w14:textId="77777777" w:rsidR="00DF36C6" w:rsidRPr="00DB0044" w:rsidRDefault="00000000" w:rsidP="007466D7">
            <w:pPr>
              <w:widowControl w:val="0"/>
              <w:jc w:val="both"/>
              <w:rPr>
                <w:rFonts w:cs="Arial"/>
              </w:rPr>
            </w:pPr>
            <w:r w:rsidRPr="00DB0044">
              <w:rPr>
                <w:rFonts w:cs="Arial"/>
              </w:rPr>
              <w:t xml:space="preserve">Cierre de </w:t>
            </w:r>
            <w:proofErr w:type="spellStart"/>
            <w:r w:rsidRPr="00DB0044">
              <w:rPr>
                <w:rFonts w:cs="Arial"/>
              </w:rPr>
              <w:t>actuación</w:t>
            </w:r>
            <w:proofErr w:type="spellEnd"/>
          </w:p>
        </w:tc>
        <w:tc>
          <w:tcPr>
            <w:tcW w:w="5018" w:type="dxa"/>
            <w:vAlign w:val="center"/>
          </w:tcPr>
          <w:p w14:paraId="7D85D5C7" w14:textId="77777777" w:rsidR="00DF36C6" w:rsidRPr="00DB0044" w:rsidRDefault="00000000" w:rsidP="007466D7">
            <w:pPr>
              <w:widowControl w:val="0"/>
              <w:jc w:val="both"/>
              <w:rPr>
                <w:rFonts w:cs="Arial"/>
                <w:lang w:val="es-CO"/>
              </w:rPr>
            </w:pPr>
            <w:r w:rsidRPr="00DB0044">
              <w:rPr>
                <w:rFonts w:cs="Arial"/>
                <w:lang w:val="es-CO"/>
              </w:rPr>
              <w:t>No se certifica eficacia, no se libera contenedor, no se crea trámite, no se configura reglamento técnico.</w:t>
            </w:r>
          </w:p>
        </w:tc>
      </w:tr>
    </w:tbl>
    <w:p w14:paraId="40C752D2" w14:textId="77777777" w:rsidR="00DB0044" w:rsidRPr="00DB0044" w:rsidRDefault="00DB0044" w:rsidP="007466D7">
      <w:pPr>
        <w:pStyle w:val="Ttulo1"/>
        <w:keepNext w:val="0"/>
        <w:keepLines w:val="0"/>
        <w:widowControl w:val="0"/>
        <w:rPr>
          <w:rFonts w:ascii="Arial" w:eastAsia="Arial" w:hAnsi="Arial" w:cs="Arial"/>
          <w:b w:val="0"/>
          <w:color w:val="auto"/>
          <w:sz w:val="22"/>
          <w:szCs w:val="22"/>
          <w:lang w:val="es-CO"/>
        </w:rPr>
      </w:pPr>
    </w:p>
    <w:p w14:paraId="1CC1FA5E" w14:textId="60A8A4CE" w:rsidR="00DF36C6" w:rsidRPr="00E766FF" w:rsidRDefault="00000000" w:rsidP="007466D7">
      <w:pPr>
        <w:pStyle w:val="Ttulo1"/>
        <w:keepNext w:val="0"/>
        <w:keepLines w:val="0"/>
        <w:widowControl w:val="0"/>
        <w:rPr>
          <w:rFonts w:ascii="Arial" w:hAnsi="Arial" w:cs="Arial"/>
          <w:bCs w:val="0"/>
          <w:color w:val="auto"/>
          <w:sz w:val="22"/>
          <w:szCs w:val="22"/>
          <w:lang w:val="es-CO"/>
        </w:rPr>
      </w:pPr>
      <w:r w:rsidRPr="00E766FF">
        <w:rPr>
          <w:rFonts w:ascii="Arial" w:eastAsia="Arial" w:hAnsi="Arial" w:cs="Arial"/>
          <w:bCs w:val="0"/>
          <w:color w:val="auto"/>
          <w:sz w:val="22"/>
          <w:szCs w:val="22"/>
          <w:lang w:val="es-CO"/>
        </w:rPr>
        <w:t>3. Modelo de verificación administrativa aplicable</w:t>
      </w:r>
    </w:p>
    <w:p w14:paraId="3E8C64BE" w14:textId="77777777" w:rsidR="00DB0044" w:rsidRPr="00DB0044" w:rsidRDefault="00DB0044" w:rsidP="007466D7">
      <w:pPr>
        <w:widowControl w:val="0"/>
        <w:jc w:val="both"/>
        <w:rPr>
          <w:rFonts w:cs="Arial"/>
          <w:lang w:val="es-CO"/>
        </w:rPr>
      </w:pPr>
    </w:p>
    <w:p w14:paraId="58AE96C1" w14:textId="39C10FEA" w:rsidR="00DF36C6" w:rsidRPr="00DB0044" w:rsidRDefault="00000000" w:rsidP="007466D7">
      <w:pPr>
        <w:widowControl w:val="0"/>
        <w:jc w:val="both"/>
        <w:rPr>
          <w:rFonts w:cs="Arial"/>
          <w:lang w:val="es-CO"/>
        </w:rPr>
      </w:pPr>
      <w:r w:rsidRPr="00DB0044">
        <w:rPr>
          <w:rFonts w:cs="Arial"/>
          <w:lang w:val="es-CO"/>
        </w:rPr>
        <w:t>La actuación de inspección, vigilancia y control se fundamenta en un modelo de verificación administrativa orientado a la trazabilidad documental, a la reconstrucción básica de la operación y a la existencia de evidencia objetiva suficiente para soportar la actuación institucional.</w:t>
      </w:r>
    </w:p>
    <w:p w14:paraId="76887F31" w14:textId="77777777" w:rsidR="00DB0044" w:rsidRPr="00DB0044" w:rsidRDefault="00DB0044" w:rsidP="007466D7">
      <w:pPr>
        <w:widowControl w:val="0"/>
        <w:jc w:val="both"/>
        <w:rPr>
          <w:rFonts w:cs="Arial"/>
          <w:lang w:val="es-CO"/>
        </w:rPr>
      </w:pPr>
    </w:p>
    <w:p w14:paraId="3CDA4334" w14:textId="2B01939C" w:rsidR="00DF36C6" w:rsidRPr="00DB0044" w:rsidRDefault="00000000" w:rsidP="007466D7">
      <w:pPr>
        <w:widowControl w:val="0"/>
        <w:jc w:val="both"/>
        <w:rPr>
          <w:rFonts w:cs="Arial"/>
          <w:lang w:val="es-CO"/>
        </w:rPr>
      </w:pPr>
      <w:r w:rsidRPr="00DB0044">
        <w:rPr>
          <w:rFonts w:cs="Arial"/>
          <w:lang w:val="es-CO"/>
        </w:rPr>
        <w:t>La verificación prevista en este anexo no corresponde a validación técnica especializada, certificación, homologación, evaluación de conformidad ni evaluación de eficacia intrínseca del tratamiento aplicado. Su propósito es permitir que la autoridad revise, documente, contraste y valore administrativamente la evidencia disponible sobre la forma en que el proceso fue ejecutado o documentado.</w:t>
      </w:r>
    </w:p>
    <w:p w14:paraId="0C1CA1CF" w14:textId="77777777" w:rsidR="00DB0044" w:rsidRPr="00DB0044" w:rsidRDefault="00DB0044" w:rsidP="007466D7">
      <w:pPr>
        <w:widowControl w:val="0"/>
        <w:jc w:val="both"/>
        <w:rPr>
          <w:rFonts w:cs="Arial"/>
          <w:lang w:val="es-CO"/>
        </w:rPr>
      </w:pPr>
    </w:p>
    <w:p w14:paraId="1C50FA9C" w14:textId="6D846B7E" w:rsidR="00DF36C6" w:rsidRPr="00DB0044" w:rsidRDefault="00000000" w:rsidP="007466D7">
      <w:pPr>
        <w:widowControl w:val="0"/>
        <w:jc w:val="both"/>
        <w:rPr>
          <w:rFonts w:cs="Arial"/>
          <w:lang w:val="es-CO"/>
        </w:rPr>
      </w:pPr>
      <w:r w:rsidRPr="00DB0044">
        <w:rPr>
          <w:rFonts w:cs="Arial"/>
          <w:lang w:val="es-CO"/>
        </w:rPr>
        <w:t>El modelo de verificación administrativa previsto en el presente anexo tiene finalidad preventiva, documental y metodológica. Su aplicación se orienta a establecer criterios homogéneos para la revisión de evidencia, trazabilidad, conservación de soportes, identificación de roles documentales y reconstrucción administrativa de los procesos comprendidos en la resolución, sin que ello implique validación técnica, sanitaria, fitosanitaria, ambiental, microbiológica, de inocuidad o aduanera del tratamiento aplicado.</w:t>
      </w:r>
    </w:p>
    <w:p w14:paraId="3CFD7085" w14:textId="77777777" w:rsidR="00DB0044" w:rsidRDefault="00DB0044" w:rsidP="007466D7">
      <w:pPr>
        <w:widowControl w:val="0"/>
        <w:jc w:val="both"/>
        <w:rPr>
          <w:rFonts w:cs="Arial"/>
          <w:lang w:val="es-CO"/>
        </w:rPr>
      </w:pPr>
    </w:p>
    <w:p w14:paraId="34D29882" w14:textId="69D75347" w:rsidR="00E766FF" w:rsidRPr="00E766FF" w:rsidRDefault="00E766FF" w:rsidP="007466D7">
      <w:pPr>
        <w:widowControl w:val="0"/>
        <w:jc w:val="both"/>
        <w:rPr>
          <w:rFonts w:cs="Arial"/>
          <w:lang w:val="es-CO"/>
        </w:rPr>
      </w:pPr>
      <w:r w:rsidRPr="00E766FF">
        <w:rPr>
          <w:rFonts w:cs="Arial"/>
          <w:lang w:val="es-CO"/>
        </w:rPr>
        <w:t>Para la aplicación de este modelo, deberán observarse los siguientes criterios:</w:t>
      </w:r>
    </w:p>
    <w:p w14:paraId="1BE12F2A" w14:textId="77777777" w:rsidR="00E766FF" w:rsidRPr="00DB0044" w:rsidRDefault="00E766FF" w:rsidP="007466D7">
      <w:pPr>
        <w:widowControl w:val="0"/>
        <w:jc w:val="both"/>
        <w:rPr>
          <w:rFonts w:cs="Arial"/>
          <w:lang w:val="es-CO"/>
        </w:rPr>
      </w:pPr>
    </w:p>
    <w:p w14:paraId="69AAE88B" w14:textId="3F9D8B77" w:rsidR="00DF36C6" w:rsidRPr="00DB0044" w:rsidRDefault="00000000" w:rsidP="007466D7">
      <w:pPr>
        <w:pStyle w:val="Prrafodelista"/>
        <w:widowControl w:val="0"/>
        <w:numPr>
          <w:ilvl w:val="0"/>
          <w:numId w:val="8"/>
        </w:numPr>
        <w:contextualSpacing w:val="0"/>
        <w:jc w:val="both"/>
        <w:rPr>
          <w:rFonts w:cs="Arial"/>
          <w:lang w:val="es-CO"/>
        </w:rPr>
      </w:pPr>
      <w:r w:rsidRPr="00DB0044">
        <w:rPr>
          <w:rFonts w:cs="Arial"/>
          <w:lang w:val="es-CO"/>
        </w:rPr>
        <w:t xml:space="preserve">La actuación se centra en documentación, evidencia, trazabilidad, </w:t>
      </w:r>
      <w:proofErr w:type="gramStart"/>
      <w:r w:rsidRPr="00DB0044">
        <w:rPr>
          <w:rFonts w:cs="Arial"/>
          <w:lang w:val="es-CO"/>
        </w:rPr>
        <w:t>roles documentales y cierre documental</w:t>
      </w:r>
      <w:proofErr w:type="gramEnd"/>
      <w:r w:rsidRPr="00DB0044">
        <w:rPr>
          <w:rFonts w:cs="Arial"/>
          <w:lang w:val="es-CO"/>
        </w:rPr>
        <w:t>.</w:t>
      </w:r>
    </w:p>
    <w:p w14:paraId="5CA80D56" w14:textId="445C92B9" w:rsidR="00DF36C6" w:rsidRPr="00DB0044" w:rsidRDefault="00000000" w:rsidP="007466D7">
      <w:pPr>
        <w:pStyle w:val="Prrafodelista"/>
        <w:widowControl w:val="0"/>
        <w:numPr>
          <w:ilvl w:val="0"/>
          <w:numId w:val="8"/>
        </w:numPr>
        <w:contextualSpacing w:val="0"/>
        <w:jc w:val="both"/>
        <w:rPr>
          <w:rFonts w:cs="Arial"/>
          <w:lang w:val="es-CO"/>
        </w:rPr>
      </w:pPr>
      <w:r w:rsidRPr="00DB0044">
        <w:rPr>
          <w:rFonts w:cs="Arial"/>
          <w:lang w:val="es-CO"/>
        </w:rPr>
        <w:t>Las conclusiones deben fundarse en soportes verificables y no exclusivamente en declaraciones verbales.</w:t>
      </w:r>
    </w:p>
    <w:p w14:paraId="36148B36" w14:textId="78D7F6AA" w:rsidR="00DF36C6" w:rsidRPr="00DB0044" w:rsidRDefault="00000000" w:rsidP="007466D7">
      <w:pPr>
        <w:pStyle w:val="Prrafodelista"/>
        <w:widowControl w:val="0"/>
        <w:numPr>
          <w:ilvl w:val="0"/>
          <w:numId w:val="8"/>
        </w:numPr>
        <w:contextualSpacing w:val="0"/>
        <w:jc w:val="both"/>
        <w:rPr>
          <w:rFonts w:cs="Arial"/>
          <w:lang w:val="es-CO"/>
        </w:rPr>
      </w:pPr>
      <w:r w:rsidRPr="00DB0044">
        <w:rPr>
          <w:rFonts w:cs="Arial"/>
          <w:lang w:val="es-CO"/>
        </w:rPr>
        <w:t>La intensidad de la revisión debe ser proporcional a la modalidad de actuación y a la fase de implementación.</w:t>
      </w:r>
    </w:p>
    <w:p w14:paraId="4D2D70D5" w14:textId="527000B4" w:rsidR="00DF36C6" w:rsidRPr="00DB0044" w:rsidRDefault="00000000" w:rsidP="007466D7">
      <w:pPr>
        <w:pStyle w:val="Prrafodelista"/>
        <w:widowControl w:val="0"/>
        <w:numPr>
          <w:ilvl w:val="0"/>
          <w:numId w:val="8"/>
        </w:numPr>
        <w:contextualSpacing w:val="0"/>
        <w:jc w:val="both"/>
        <w:rPr>
          <w:rFonts w:cs="Arial"/>
          <w:lang w:val="es-CO"/>
        </w:rPr>
      </w:pPr>
      <w:r w:rsidRPr="00DB0044">
        <w:rPr>
          <w:rFonts w:cs="Arial"/>
          <w:lang w:val="es-CO"/>
        </w:rPr>
        <w:t>La Superintendencia no valida resultados sanitarios, fitosanitarios, ambientales, microbiológicos, de inocuidad o técnicos.</w:t>
      </w:r>
    </w:p>
    <w:p w14:paraId="634E6987" w14:textId="6C79E1B9" w:rsidR="00DF36C6" w:rsidRPr="00DB0044" w:rsidRDefault="00000000" w:rsidP="007466D7">
      <w:pPr>
        <w:pStyle w:val="Prrafodelista"/>
        <w:widowControl w:val="0"/>
        <w:numPr>
          <w:ilvl w:val="0"/>
          <w:numId w:val="8"/>
        </w:numPr>
        <w:contextualSpacing w:val="0"/>
        <w:jc w:val="both"/>
        <w:rPr>
          <w:rFonts w:cs="Arial"/>
          <w:lang w:val="es-CO"/>
        </w:rPr>
      </w:pPr>
      <w:r w:rsidRPr="00DB0044">
        <w:rPr>
          <w:rFonts w:cs="Arial"/>
          <w:lang w:val="es-CO"/>
        </w:rPr>
        <w:t>Las conclusiones permanecen bajo responsabilidad institucional de la Superintendencia.</w:t>
      </w:r>
    </w:p>
    <w:p w14:paraId="5FA0C780" w14:textId="77777777" w:rsidR="00DB0044" w:rsidRPr="00DB0044" w:rsidRDefault="00DB0044" w:rsidP="007466D7">
      <w:pPr>
        <w:widowControl w:val="0"/>
        <w:jc w:val="both"/>
        <w:rPr>
          <w:rFonts w:cs="Arial"/>
          <w:lang w:val="es-CO"/>
        </w:rPr>
      </w:pPr>
    </w:p>
    <w:p w14:paraId="52334B31" w14:textId="77777777" w:rsidR="00DF36C6" w:rsidRPr="00DB0044" w:rsidRDefault="00000000" w:rsidP="007466D7">
      <w:pPr>
        <w:pStyle w:val="Ttulo1"/>
        <w:keepNext w:val="0"/>
        <w:keepLines w:val="0"/>
        <w:widowControl w:val="0"/>
        <w:rPr>
          <w:rFonts w:ascii="Arial" w:hAnsi="Arial" w:cs="Arial"/>
          <w:color w:val="auto"/>
          <w:sz w:val="22"/>
          <w:szCs w:val="22"/>
          <w:lang w:val="es-CO"/>
        </w:rPr>
      </w:pPr>
      <w:r w:rsidRPr="00DB0044">
        <w:rPr>
          <w:rFonts w:ascii="Arial" w:eastAsia="Arial" w:hAnsi="Arial" w:cs="Arial"/>
          <w:color w:val="auto"/>
          <w:sz w:val="22"/>
          <w:szCs w:val="22"/>
          <w:lang w:val="es-CO"/>
        </w:rPr>
        <w:t>4. Modalidades de actuación y presencia institucional</w:t>
      </w:r>
    </w:p>
    <w:p w14:paraId="77FD034F" w14:textId="77777777" w:rsidR="00DB0044" w:rsidRPr="00DB0044" w:rsidRDefault="00DB0044" w:rsidP="007466D7">
      <w:pPr>
        <w:widowControl w:val="0"/>
        <w:jc w:val="both"/>
        <w:rPr>
          <w:rFonts w:cs="Arial"/>
          <w:lang w:val="es-CO"/>
        </w:rPr>
      </w:pPr>
    </w:p>
    <w:p w14:paraId="14D866E7" w14:textId="361252BE" w:rsidR="00DF36C6" w:rsidRPr="00DB0044" w:rsidRDefault="00000000" w:rsidP="007466D7">
      <w:pPr>
        <w:widowControl w:val="0"/>
        <w:jc w:val="both"/>
        <w:rPr>
          <w:rFonts w:cs="Arial"/>
          <w:lang w:val="es-CO"/>
        </w:rPr>
      </w:pPr>
      <w:r w:rsidRPr="00DB0044">
        <w:rPr>
          <w:rFonts w:cs="Arial"/>
          <w:lang w:val="es-CO"/>
        </w:rPr>
        <w:t xml:space="preserve">La actuación podrá realizarse mediante revisión documental, revisión remota, requerimiento de información, verificación preventiva, levantamiento de línea base, seguimiento institucional o visita en </w:t>
      </w:r>
      <w:r w:rsidRPr="00DB0044">
        <w:rPr>
          <w:rFonts w:cs="Arial"/>
          <w:lang w:val="es-CO"/>
        </w:rPr>
        <w:lastRenderedPageBreak/>
        <w:t>campo. La selección de la modalidad dependerá del objetivo de la actuación, la fase de implementación, la evidencia disponible y los criterios de priorización que defina la Superintendencia.</w:t>
      </w:r>
    </w:p>
    <w:p w14:paraId="5FF752C0" w14:textId="77777777" w:rsidR="00DB0044" w:rsidRPr="00DB0044" w:rsidRDefault="00DB0044" w:rsidP="007466D7">
      <w:pPr>
        <w:widowControl w:val="0"/>
        <w:jc w:val="both"/>
        <w:rPr>
          <w:rFonts w:cs="Arial"/>
          <w:lang w:val="es-CO"/>
        </w:rPr>
      </w:pPr>
    </w:p>
    <w:p w14:paraId="4CF06610" w14:textId="4074E80F" w:rsidR="00DF36C6" w:rsidRPr="00DB0044" w:rsidRDefault="00000000" w:rsidP="007466D7">
      <w:pPr>
        <w:widowControl w:val="0"/>
        <w:jc w:val="both"/>
        <w:rPr>
          <w:rFonts w:cs="Arial"/>
          <w:lang w:val="es-CO"/>
        </w:rPr>
      </w:pPr>
      <w:r w:rsidRPr="00DB0044">
        <w:rPr>
          <w:rFonts w:cs="Arial"/>
          <w:lang w:val="es-CO"/>
        </w:rPr>
        <w:t>Cuando la actuación implique visita o actuación en campo, deberá ser dirigida, practicada o asumida institucionalmente por funcionarios competentes de la Superintendencia de Transporte o por la comisión que la entidad designe. La presencia de apoyo técnico-operativo no sustituye la dirección institucional de la actuación ni traslada facultades administrativas.</w:t>
      </w:r>
    </w:p>
    <w:p w14:paraId="48BD5330" w14:textId="77777777" w:rsidR="00DB0044" w:rsidRPr="00DB0044" w:rsidRDefault="00DB0044" w:rsidP="007466D7">
      <w:pPr>
        <w:widowControl w:val="0"/>
        <w:jc w:val="both"/>
        <w:rPr>
          <w:rFonts w:cs="Arial"/>
          <w:lang w:val="es-CO"/>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268"/>
        <w:gridCol w:w="4068"/>
        <w:gridCol w:w="3573"/>
      </w:tblGrid>
      <w:tr w:rsidR="00DF36C6" w:rsidRPr="00DB0044" w14:paraId="0BFEB300" w14:textId="77777777" w:rsidTr="00DB0044">
        <w:trPr>
          <w:jc w:val="center"/>
        </w:trPr>
        <w:tc>
          <w:tcPr>
            <w:tcW w:w="2268" w:type="dxa"/>
            <w:vAlign w:val="center"/>
          </w:tcPr>
          <w:p w14:paraId="3D884BDB" w14:textId="77777777" w:rsidR="00DF36C6" w:rsidRPr="00DB0044" w:rsidRDefault="00000000" w:rsidP="007466D7">
            <w:pPr>
              <w:widowControl w:val="0"/>
              <w:jc w:val="center"/>
              <w:rPr>
                <w:rFonts w:cs="Arial"/>
              </w:rPr>
            </w:pPr>
            <w:proofErr w:type="spellStart"/>
            <w:r w:rsidRPr="00DB0044">
              <w:rPr>
                <w:rFonts w:cs="Arial"/>
                <w:b/>
              </w:rPr>
              <w:t>Modalidad</w:t>
            </w:r>
            <w:proofErr w:type="spellEnd"/>
          </w:p>
        </w:tc>
        <w:tc>
          <w:tcPr>
            <w:tcW w:w="4068" w:type="dxa"/>
            <w:vAlign w:val="center"/>
          </w:tcPr>
          <w:p w14:paraId="30D2D472" w14:textId="77777777" w:rsidR="00DF36C6" w:rsidRPr="00DB0044" w:rsidRDefault="00000000" w:rsidP="007466D7">
            <w:pPr>
              <w:widowControl w:val="0"/>
              <w:jc w:val="center"/>
              <w:rPr>
                <w:rFonts w:cs="Arial"/>
              </w:rPr>
            </w:pPr>
            <w:r w:rsidRPr="00DB0044">
              <w:rPr>
                <w:rFonts w:cs="Arial"/>
                <w:b/>
              </w:rPr>
              <w:t xml:space="preserve">Uso </w:t>
            </w:r>
            <w:proofErr w:type="spellStart"/>
            <w:r w:rsidRPr="00DB0044">
              <w:rPr>
                <w:rFonts w:cs="Arial"/>
                <w:b/>
              </w:rPr>
              <w:t>posible</w:t>
            </w:r>
            <w:proofErr w:type="spellEnd"/>
          </w:p>
        </w:tc>
        <w:tc>
          <w:tcPr>
            <w:tcW w:w="3573" w:type="dxa"/>
            <w:vAlign w:val="center"/>
          </w:tcPr>
          <w:p w14:paraId="232CE29F" w14:textId="77777777" w:rsidR="00DF36C6" w:rsidRPr="00DB0044" w:rsidRDefault="00000000" w:rsidP="007466D7">
            <w:pPr>
              <w:widowControl w:val="0"/>
              <w:jc w:val="center"/>
              <w:rPr>
                <w:rFonts w:cs="Arial"/>
              </w:rPr>
            </w:pPr>
            <w:r w:rsidRPr="00DB0044">
              <w:rPr>
                <w:rFonts w:cs="Arial"/>
                <w:b/>
              </w:rPr>
              <w:t>Regla de control</w:t>
            </w:r>
          </w:p>
        </w:tc>
      </w:tr>
      <w:tr w:rsidR="00DF36C6" w:rsidRPr="000A7C8B" w14:paraId="7F1CDEF2" w14:textId="77777777" w:rsidTr="00DB0044">
        <w:trPr>
          <w:jc w:val="center"/>
        </w:trPr>
        <w:tc>
          <w:tcPr>
            <w:tcW w:w="2268" w:type="dxa"/>
            <w:vAlign w:val="center"/>
          </w:tcPr>
          <w:p w14:paraId="4525B42F" w14:textId="77777777" w:rsidR="00DF36C6" w:rsidRPr="00DB0044" w:rsidRDefault="00000000" w:rsidP="007466D7">
            <w:pPr>
              <w:widowControl w:val="0"/>
              <w:jc w:val="both"/>
              <w:rPr>
                <w:rFonts w:cs="Arial"/>
              </w:rPr>
            </w:pPr>
            <w:proofErr w:type="spellStart"/>
            <w:r w:rsidRPr="00DB0044">
              <w:rPr>
                <w:rFonts w:cs="Arial"/>
              </w:rPr>
              <w:t>Revisión</w:t>
            </w:r>
            <w:proofErr w:type="spellEnd"/>
            <w:r w:rsidRPr="00DB0044">
              <w:rPr>
                <w:rFonts w:cs="Arial"/>
              </w:rPr>
              <w:t xml:space="preserve"> documental</w:t>
            </w:r>
          </w:p>
        </w:tc>
        <w:tc>
          <w:tcPr>
            <w:tcW w:w="4068" w:type="dxa"/>
            <w:vAlign w:val="center"/>
          </w:tcPr>
          <w:p w14:paraId="527E36DB" w14:textId="77777777" w:rsidR="00DF36C6" w:rsidRPr="00DB0044" w:rsidRDefault="00000000" w:rsidP="007466D7">
            <w:pPr>
              <w:widowControl w:val="0"/>
              <w:jc w:val="both"/>
              <w:rPr>
                <w:rFonts w:cs="Arial"/>
                <w:lang w:val="es-CO"/>
              </w:rPr>
            </w:pPr>
            <w:r w:rsidRPr="00DB0044">
              <w:rPr>
                <w:rFonts w:cs="Arial"/>
                <w:lang w:val="es-CO"/>
              </w:rPr>
              <w:t>Análisis de soportes aportados o requeridos.</w:t>
            </w:r>
          </w:p>
        </w:tc>
        <w:tc>
          <w:tcPr>
            <w:tcW w:w="3573" w:type="dxa"/>
            <w:vAlign w:val="center"/>
          </w:tcPr>
          <w:p w14:paraId="4F0B49D9" w14:textId="77777777" w:rsidR="00DF36C6" w:rsidRPr="00DB0044" w:rsidRDefault="00000000" w:rsidP="007466D7">
            <w:pPr>
              <w:widowControl w:val="0"/>
              <w:jc w:val="both"/>
              <w:rPr>
                <w:rFonts w:cs="Arial"/>
                <w:lang w:val="es-CO"/>
              </w:rPr>
            </w:pPr>
            <w:r w:rsidRPr="00DB0044">
              <w:rPr>
                <w:rFonts w:cs="Arial"/>
                <w:lang w:val="es-CO"/>
              </w:rPr>
              <w:t>No exige presencia física; debe dejar trazabilidad de documentos revisados.</w:t>
            </w:r>
          </w:p>
        </w:tc>
      </w:tr>
      <w:tr w:rsidR="00DF36C6" w:rsidRPr="000A7C8B" w14:paraId="3EB5CBC4" w14:textId="77777777" w:rsidTr="00DB0044">
        <w:trPr>
          <w:jc w:val="center"/>
        </w:trPr>
        <w:tc>
          <w:tcPr>
            <w:tcW w:w="2268" w:type="dxa"/>
            <w:vAlign w:val="center"/>
          </w:tcPr>
          <w:p w14:paraId="11A1F74F" w14:textId="77777777" w:rsidR="00DF36C6" w:rsidRPr="00DB0044" w:rsidRDefault="00000000" w:rsidP="007466D7">
            <w:pPr>
              <w:widowControl w:val="0"/>
              <w:jc w:val="both"/>
              <w:rPr>
                <w:rFonts w:cs="Arial"/>
              </w:rPr>
            </w:pPr>
            <w:proofErr w:type="spellStart"/>
            <w:r w:rsidRPr="00DB0044">
              <w:rPr>
                <w:rFonts w:cs="Arial"/>
              </w:rPr>
              <w:t>Revisión</w:t>
            </w:r>
            <w:proofErr w:type="spellEnd"/>
            <w:r w:rsidRPr="00DB0044">
              <w:rPr>
                <w:rFonts w:cs="Arial"/>
              </w:rPr>
              <w:t xml:space="preserve"> remota</w:t>
            </w:r>
          </w:p>
        </w:tc>
        <w:tc>
          <w:tcPr>
            <w:tcW w:w="4068" w:type="dxa"/>
            <w:vAlign w:val="center"/>
          </w:tcPr>
          <w:p w14:paraId="0D993BE3" w14:textId="77777777" w:rsidR="00DF36C6" w:rsidRPr="00DB0044" w:rsidRDefault="00000000" w:rsidP="007466D7">
            <w:pPr>
              <w:widowControl w:val="0"/>
              <w:jc w:val="both"/>
              <w:rPr>
                <w:rFonts w:cs="Arial"/>
                <w:lang w:val="es-CO"/>
              </w:rPr>
            </w:pPr>
            <w:r w:rsidRPr="00DB0044">
              <w:rPr>
                <w:rFonts w:cs="Arial"/>
                <w:lang w:val="es-CO"/>
              </w:rPr>
              <w:t>Revisión mediante medios electrónicos o sistemas de información.</w:t>
            </w:r>
          </w:p>
        </w:tc>
        <w:tc>
          <w:tcPr>
            <w:tcW w:w="3573" w:type="dxa"/>
            <w:vAlign w:val="center"/>
          </w:tcPr>
          <w:p w14:paraId="4A9B310E" w14:textId="77777777" w:rsidR="00DF36C6" w:rsidRPr="00DB0044" w:rsidRDefault="00000000" w:rsidP="007466D7">
            <w:pPr>
              <w:widowControl w:val="0"/>
              <w:jc w:val="both"/>
              <w:rPr>
                <w:rFonts w:cs="Arial"/>
                <w:lang w:val="es-CO"/>
              </w:rPr>
            </w:pPr>
            <w:r w:rsidRPr="00DB0044">
              <w:rPr>
                <w:rFonts w:cs="Arial"/>
                <w:lang w:val="es-CO"/>
              </w:rPr>
              <w:t>No equivale a visita de campo; conserva límites de verificabilidad administrativa.</w:t>
            </w:r>
          </w:p>
        </w:tc>
      </w:tr>
      <w:tr w:rsidR="00DF36C6" w:rsidRPr="000A7C8B" w14:paraId="3653467D" w14:textId="77777777" w:rsidTr="00DB0044">
        <w:trPr>
          <w:jc w:val="center"/>
        </w:trPr>
        <w:tc>
          <w:tcPr>
            <w:tcW w:w="2268" w:type="dxa"/>
            <w:vAlign w:val="center"/>
          </w:tcPr>
          <w:p w14:paraId="5F56E456" w14:textId="77777777" w:rsidR="00DF36C6" w:rsidRPr="00DB0044" w:rsidRDefault="00000000" w:rsidP="007466D7">
            <w:pPr>
              <w:widowControl w:val="0"/>
              <w:jc w:val="both"/>
              <w:rPr>
                <w:rFonts w:cs="Arial"/>
              </w:rPr>
            </w:pPr>
            <w:r w:rsidRPr="00DB0044">
              <w:rPr>
                <w:rFonts w:cs="Arial"/>
              </w:rPr>
              <w:t>Línea base</w:t>
            </w:r>
          </w:p>
        </w:tc>
        <w:tc>
          <w:tcPr>
            <w:tcW w:w="4068" w:type="dxa"/>
            <w:vAlign w:val="center"/>
          </w:tcPr>
          <w:p w14:paraId="238291AF" w14:textId="77777777" w:rsidR="00DF36C6" w:rsidRPr="00DB0044" w:rsidRDefault="00000000" w:rsidP="007466D7">
            <w:pPr>
              <w:widowControl w:val="0"/>
              <w:jc w:val="both"/>
              <w:rPr>
                <w:rFonts w:cs="Arial"/>
                <w:lang w:val="es-CO"/>
              </w:rPr>
            </w:pPr>
            <w:r w:rsidRPr="00DB0044">
              <w:rPr>
                <w:rFonts w:cs="Arial"/>
                <w:lang w:val="es-CO"/>
              </w:rPr>
              <w:t>Identificación inicial de brechas y prácticas documentales.</w:t>
            </w:r>
          </w:p>
        </w:tc>
        <w:tc>
          <w:tcPr>
            <w:tcW w:w="3573" w:type="dxa"/>
            <w:vAlign w:val="center"/>
          </w:tcPr>
          <w:p w14:paraId="631BA344" w14:textId="41F8ACDA" w:rsidR="00DF36C6" w:rsidRPr="00E21625" w:rsidRDefault="00E21625" w:rsidP="007466D7">
            <w:pPr>
              <w:widowControl w:val="0"/>
              <w:jc w:val="both"/>
              <w:rPr>
                <w:rFonts w:cs="Arial"/>
                <w:lang w:val="es-CO"/>
              </w:rPr>
            </w:pPr>
            <w:r w:rsidRPr="00E21625">
              <w:rPr>
                <w:rFonts w:cs="Arial"/>
                <w:lang w:val="es-CO"/>
              </w:rPr>
              <w:t>Finalidad preventiva y de caracterización documental, sin perjuicio de las actuaciones que resulten procedentes conforme al régimen aplicable.</w:t>
            </w:r>
          </w:p>
        </w:tc>
      </w:tr>
      <w:tr w:rsidR="00DF36C6" w:rsidRPr="000A7C8B" w14:paraId="2E034489" w14:textId="77777777" w:rsidTr="00DB0044">
        <w:trPr>
          <w:jc w:val="center"/>
        </w:trPr>
        <w:tc>
          <w:tcPr>
            <w:tcW w:w="2268" w:type="dxa"/>
            <w:vAlign w:val="center"/>
          </w:tcPr>
          <w:p w14:paraId="33C3FAA2" w14:textId="77777777" w:rsidR="00DF36C6" w:rsidRPr="00DB0044" w:rsidRDefault="00000000" w:rsidP="007466D7">
            <w:pPr>
              <w:widowControl w:val="0"/>
              <w:jc w:val="both"/>
              <w:rPr>
                <w:rFonts w:cs="Arial"/>
              </w:rPr>
            </w:pPr>
            <w:proofErr w:type="spellStart"/>
            <w:r w:rsidRPr="00DB0044">
              <w:rPr>
                <w:rFonts w:cs="Arial"/>
              </w:rPr>
              <w:t>Seguimiento</w:t>
            </w:r>
            <w:proofErr w:type="spellEnd"/>
          </w:p>
        </w:tc>
        <w:tc>
          <w:tcPr>
            <w:tcW w:w="4068" w:type="dxa"/>
            <w:vAlign w:val="center"/>
          </w:tcPr>
          <w:p w14:paraId="0072EECC" w14:textId="77777777" w:rsidR="00DF36C6" w:rsidRPr="00DB0044" w:rsidRDefault="00000000" w:rsidP="007466D7">
            <w:pPr>
              <w:widowControl w:val="0"/>
              <w:jc w:val="both"/>
              <w:rPr>
                <w:rFonts w:cs="Arial"/>
                <w:lang w:val="es-CO"/>
              </w:rPr>
            </w:pPr>
            <w:r w:rsidRPr="00DB0044">
              <w:rPr>
                <w:rFonts w:cs="Arial"/>
                <w:lang w:val="es-CO"/>
              </w:rPr>
              <w:t>Verificación posterior de mejoras, consistencia o disponibilidad de evidencia.</w:t>
            </w:r>
          </w:p>
        </w:tc>
        <w:tc>
          <w:tcPr>
            <w:tcW w:w="3573" w:type="dxa"/>
            <w:vAlign w:val="center"/>
          </w:tcPr>
          <w:p w14:paraId="543FC8B2" w14:textId="77777777" w:rsidR="00DF36C6" w:rsidRPr="00DB0044" w:rsidRDefault="00000000" w:rsidP="007466D7">
            <w:pPr>
              <w:widowControl w:val="0"/>
              <w:jc w:val="both"/>
              <w:rPr>
                <w:rFonts w:cs="Arial"/>
                <w:lang w:val="es-CO"/>
              </w:rPr>
            </w:pPr>
            <w:r w:rsidRPr="00DB0044">
              <w:rPr>
                <w:rFonts w:cs="Arial"/>
                <w:lang w:val="es-CO"/>
              </w:rPr>
              <w:t>No crea trámite ni autorización periódica.</w:t>
            </w:r>
          </w:p>
        </w:tc>
      </w:tr>
      <w:tr w:rsidR="00DF36C6" w:rsidRPr="000A7C8B" w14:paraId="36967286" w14:textId="77777777" w:rsidTr="00DB0044">
        <w:trPr>
          <w:jc w:val="center"/>
        </w:trPr>
        <w:tc>
          <w:tcPr>
            <w:tcW w:w="2268" w:type="dxa"/>
            <w:vAlign w:val="center"/>
          </w:tcPr>
          <w:p w14:paraId="4E6901FA" w14:textId="77777777" w:rsidR="00DF36C6" w:rsidRPr="00DB0044" w:rsidRDefault="00000000" w:rsidP="007466D7">
            <w:pPr>
              <w:widowControl w:val="0"/>
              <w:jc w:val="both"/>
              <w:rPr>
                <w:rFonts w:cs="Arial"/>
              </w:rPr>
            </w:pPr>
            <w:r w:rsidRPr="00DB0044">
              <w:rPr>
                <w:rFonts w:cs="Arial"/>
              </w:rPr>
              <w:t xml:space="preserve">Visita </w:t>
            </w:r>
            <w:proofErr w:type="spellStart"/>
            <w:r w:rsidRPr="00DB0044">
              <w:rPr>
                <w:rFonts w:cs="Arial"/>
              </w:rPr>
              <w:t>en</w:t>
            </w:r>
            <w:proofErr w:type="spellEnd"/>
            <w:r w:rsidRPr="00DB0044">
              <w:rPr>
                <w:rFonts w:cs="Arial"/>
              </w:rPr>
              <w:t xml:space="preserve"> campo</w:t>
            </w:r>
          </w:p>
        </w:tc>
        <w:tc>
          <w:tcPr>
            <w:tcW w:w="4068" w:type="dxa"/>
            <w:vAlign w:val="center"/>
          </w:tcPr>
          <w:p w14:paraId="2D7DB53B" w14:textId="77777777" w:rsidR="00DF36C6" w:rsidRPr="00DB0044" w:rsidRDefault="00000000" w:rsidP="007466D7">
            <w:pPr>
              <w:widowControl w:val="0"/>
              <w:jc w:val="both"/>
              <w:rPr>
                <w:rFonts w:cs="Arial"/>
                <w:lang w:val="es-CO"/>
              </w:rPr>
            </w:pPr>
            <w:r w:rsidRPr="00DB0044">
              <w:rPr>
                <w:rFonts w:cs="Arial"/>
                <w:lang w:val="es-CO"/>
              </w:rPr>
              <w:t>Observación directa o verificación presencial.</w:t>
            </w:r>
          </w:p>
        </w:tc>
        <w:tc>
          <w:tcPr>
            <w:tcW w:w="3573" w:type="dxa"/>
            <w:vAlign w:val="center"/>
          </w:tcPr>
          <w:p w14:paraId="4A9E5101" w14:textId="77777777" w:rsidR="00DF36C6" w:rsidRPr="00DB0044" w:rsidRDefault="00000000" w:rsidP="007466D7">
            <w:pPr>
              <w:widowControl w:val="0"/>
              <w:jc w:val="both"/>
              <w:rPr>
                <w:rFonts w:cs="Arial"/>
                <w:lang w:val="es-CO"/>
              </w:rPr>
            </w:pPr>
            <w:r w:rsidRPr="00DB0044">
              <w:rPr>
                <w:rFonts w:cs="Arial"/>
                <w:lang w:val="es-CO"/>
              </w:rPr>
              <w:t>Debe estar dirigida o asumida por funcionario competente o comisión designada.</w:t>
            </w:r>
          </w:p>
        </w:tc>
      </w:tr>
    </w:tbl>
    <w:p w14:paraId="39CC4C87" w14:textId="77777777" w:rsidR="00DB0044" w:rsidRPr="00DB0044" w:rsidRDefault="00DB0044" w:rsidP="007466D7">
      <w:pPr>
        <w:pStyle w:val="Ttulo1"/>
        <w:keepNext w:val="0"/>
        <w:keepLines w:val="0"/>
        <w:widowControl w:val="0"/>
        <w:rPr>
          <w:rFonts w:ascii="Arial" w:eastAsia="Arial" w:hAnsi="Arial" w:cs="Arial"/>
          <w:b w:val="0"/>
          <w:bCs w:val="0"/>
          <w:color w:val="auto"/>
          <w:sz w:val="22"/>
          <w:szCs w:val="22"/>
          <w:lang w:val="es-CO"/>
        </w:rPr>
      </w:pPr>
    </w:p>
    <w:p w14:paraId="44B44C61" w14:textId="222D2AB6" w:rsidR="00DF36C6" w:rsidRPr="00DB0044" w:rsidRDefault="00000000" w:rsidP="007466D7">
      <w:pPr>
        <w:pStyle w:val="Ttulo1"/>
        <w:keepNext w:val="0"/>
        <w:keepLines w:val="0"/>
        <w:widowControl w:val="0"/>
        <w:rPr>
          <w:rFonts w:ascii="Arial" w:hAnsi="Arial" w:cs="Arial"/>
          <w:color w:val="auto"/>
          <w:sz w:val="22"/>
          <w:szCs w:val="22"/>
          <w:lang w:val="es-CO"/>
        </w:rPr>
      </w:pPr>
      <w:r w:rsidRPr="00DB0044">
        <w:rPr>
          <w:rFonts w:ascii="Arial" w:eastAsia="Arial" w:hAnsi="Arial" w:cs="Arial"/>
          <w:color w:val="auto"/>
          <w:sz w:val="22"/>
          <w:szCs w:val="22"/>
          <w:lang w:val="es-CO"/>
        </w:rPr>
        <w:t>5. Sujetos y roles documentales</w:t>
      </w:r>
    </w:p>
    <w:p w14:paraId="659FB773" w14:textId="77777777" w:rsidR="00DB0044" w:rsidRPr="00DB0044" w:rsidRDefault="00DB0044" w:rsidP="007466D7">
      <w:pPr>
        <w:widowControl w:val="0"/>
        <w:jc w:val="both"/>
        <w:rPr>
          <w:rFonts w:cs="Arial"/>
          <w:lang w:val="es-CO"/>
        </w:rPr>
      </w:pPr>
    </w:p>
    <w:p w14:paraId="53E30CF0" w14:textId="3E947265" w:rsidR="00DF36C6" w:rsidRPr="00DB0044" w:rsidRDefault="00E21625" w:rsidP="007466D7">
      <w:pPr>
        <w:widowControl w:val="0"/>
        <w:jc w:val="both"/>
        <w:rPr>
          <w:rFonts w:cs="Arial"/>
          <w:lang w:val="es-CO"/>
        </w:rPr>
      </w:pPr>
      <w:r w:rsidRPr="00E21625">
        <w:rPr>
          <w:rFonts w:cs="Arial"/>
          <w:lang w:val="es-CO"/>
        </w:rPr>
        <w:t>Para efectos del presente anexo, la referencia a sujetos destinatarios de la obligación documental debe entenderse limitada</w:t>
      </w:r>
      <w:r w:rsidRPr="00DB0044">
        <w:rPr>
          <w:rFonts w:cs="Arial"/>
          <w:lang w:val="es-CO"/>
        </w:rPr>
        <w:t xml:space="preserve"> a quienes estén bajo competencia de la Superintendencia de Transporte y tengan, según su rol, control, custodia, administración o disponibilidad razonable de la evidencia.</w:t>
      </w:r>
    </w:p>
    <w:p w14:paraId="2D5DC4C8" w14:textId="77777777" w:rsidR="00DB0044" w:rsidRPr="00DB0044" w:rsidRDefault="00DB0044" w:rsidP="007466D7">
      <w:pPr>
        <w:widowControl w:val="0"/>
        <w:jc w:val="both"/>
        <w:rPr>
          <w:rFonts w:cs="Arial"/>
          <w:lang w:val="es-CO"/>
        </w:rPr>
      </w:pPr>
    </w:p>
    <w:p w14:paraId="48743C03" w14:textId="3B4DA91E" w:rsidR="00DF36C6" w:rsidRPr="00DB0044" w:rsidRDefault="00000000" w:rsidP="007466D7">
      <w:pPr>
        <w:widowControl w:val="0"/>
        <w:jc w:val="both"/>
        <w:rPr>
          <w:rFonts w:cs="Arial"/>
          <w:lang w:val="es-CO"/>
        </w:rPr>
      </w:pPr>
      <w:r w:rsidRPr="00DB0044">
        <w:rPr>
          <w:rFonts w:cs="Arial"/>
          <w:lang w:val="es-CO"/>
        </w:rPr>
        <w:t>No todo actor de la cadena logística queda automáticamente sometido al instrumento. La exigibilidad se define por competencia de la Superintendencia, rol en la operación, relación funcional con el entorno portuario y disponibilidad razonable de información.</w:t>
      </w:r>
    </w:p>
    <w:p w14:paraId="6860F0FD" w14:textId="77777777" w:rsidR="00DB0044" w:rsidRPr="00DB0044" w:rsidRDefault="00DB0044" w:rsidP="007466D7">
      <w:pPr>
        <w:widowControl w:val="0"/>
        <w:jc w:val="both"/>
        <w:rPr>
          <w:rFonts w:cs="Arial"/>
          <w:lang w:val="es-CO"/>
        </w:rPr>
      </w:pPr>
    </w:p>
    <w:p w14:paraId="2E2F1D5A" w14:textId="77777777" w:rsidR="00DF36C6" w:rsidRPr="00DB0044" w:rsidRDefault="00000000" w:rsidP="007466D7">
      <w:pPr>
        <w:pStyle w:val="Ttulo1"/>
        <w:keepNext w:val="0"/>
        <w:keepLines w:val="0"/>
        <w:widowControl w:val="0"/>
        <w:rPr>
          <w:rFonts w:ascii="Arial" w:hAnsi="Arial" w:cs="Arial"/>
          <w:color w:val="auto"/>
          <w:sz w:val="22"/>
          <w:szCs w:val="22"/>
          <w:lang w:val="es-CO"/>
        </w:rPr>
      </w:pPr>
      <w:r w:rsidRPr="00DB0044">
        <w:rPr>
          <w:rFonts w:ascii="Arial" w:eastAsia="Arial" w:hAnsi="Arial" w:cs="Arial"/>
          <w:color w:val="auto"/>
          <w:sz w:val="22"/>
          <w:szCs w:val="22"/>
          <w:lang w:val="es-CO"/>
        </w:rPr>
        <w:t>6. Desarrollo operativo de la verificación</w:t>
      </w:r>
    </w:p>
    <w:p w14:paraId="1E626127" w14:textId="77777777" w:rsidR="00DB0044" w:rsidRPr="00DB0044" w:rsidRDefault="00DB0044" w:rsidP="007466D7">
      <w:pPr>
        <w:widowControl w:val="0"/>
        <w:jc w:val="both"/>
        <w:rPr>
          <w:rFonts w:cs="Arial"/>
          <w:lang w:val="es-CO"/>
        </w:rPr>
      </w:pPr>
    </w:p>
    <w:p w14:paraId="6085CC80" w14:textId="1FF2DBB1" w:rsidR="00DF36C6" w:rsidRPr="00E21625" w:rsidRDefault="00000000" w:rsidP="007466D7">
      <w:pPr>
        <w:widowControl w:val="0"/>
        <w:jc w:val="both"/>
        <w:rPr>
          <w:rFonts w:cs="Arial"/>
          <w:lang w:val="es-CO"/>
        </w:rPr>
      </w:pPr>
      <w:r w:rsidRPr="00DB0044">
        <w:rPr>
          <w:rFonts w:cs="Arial"/>
          <w:lang w:val="es-CO"/>
        </w:rPr>
        <w:t xml:space="preserve">El desarrollo operativo deberá comprender, cuando resulte aplicable, las siguientes etapas: identificación de la actuación, identificación del sujeto sometido a IVC, verificación del contenedor vacío o muestra revisada, revisión de evidencia mínima, análisis de trazabilidad documental, revisión de cierre documental y contingencias, identificación de hallazgos administrativos, formulación de conclusión administrativa </w:t>
      </w:r>
      <w:r w:rsidR="00E21625" w:rsidRPr="00E21625">
        <w:rPr>
          <w:rFonts w:cs="Arial"/>
          <w:lang w:val="es-CO"/>
        </w:rPr>
        <w:t>y, cuando corresponda, formulación de observaciones administrativas o recomendaciones metodológicas sujetas a valoración institucional.</w:t>
      </w:r>
    </w:p>
    <w:p w14:paraId="0D08F77F" w14:textId="77777777" w:rsidR="00DB0044" w:rsidRPr="00DB0044" w:rsidRDefault="00DB0044" w:rsidP="007466D7">
      <w:pPr>
        <w:widowControl w:val="0"/>
        <w:jc w:val="both"/>
        <w:rPr>
          <w:rFonts w:cs="Arial"/>
          <w:lang w:val="es-CO"/>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366"/>
        <w:gridCol w:w="4292"/>
        <w:gridCol w:w="3324"/>
      </w:tblGrid>
      <w:tr w:rsidR="00DF36C6" w:rsidRPr="00DB0044" w14:paraId="449A3CF8" w14:textId="77777777" w:rsidTr="00DB0044">
        <w:trPr>
          <w:jc w:val="center"/>
        </w:trPr>
        <w:tc>
          <w:tcPr>
            <w:tcW w:w="2366" w:type="dxa"/>
            <w:vAlign w:val="center"/>
          </w:tcPr>
          <w:p w14:paraId="08033D4B" w14:textId="77777777" w:rsidR="00DF36C6" w:rsidRPr="00DB0044" w:rsidRDefault="00000000" w:rsidP="007466D7">
            <w:pPr>
              <w:widowControl w:val="0"/>
              <w:jc w:val="center"/>
              <w:rPr>
                <w:rFonts w:cs="Arial"/>
              </w:rPr>
            </w:pPr>
            <w:r w:rsidRPr="00DB0044">
              <w:rPr>
                <w:rFonts w:cs="Arial"/>
                <w:b/>
              </w:rPr>
              <w:t>Etapa</w:t>
            </w:r>
          </w:p>
        </w:tc>
        <w:tc>
          <w:tcPr>
            <w:tcW w:w="4292" w:type="dxa"/>
            <w:vAlign w:val="center"/>
          </w:tcPr>
          <w:p w14:paraId="7F532435" w14:textId="77777777" w:rsidR="00DF36C6" w:rsidRPr="00DB0044" w:rsidRDefault="00000000" w:rsidP="007466D7">
            <w:pPr>
              <w:widowControl w:val="0"/>
              <w:jc w:val="center"/>
              <w:rPr>
                <w:rFonts w:cs="Arial"/>
              </w:rPr>
            </w:pPr>
            <w:proofErr w:type="spellStart"/>
            <w:r w:rsidRPr="00DB0044">
              <w:rPr>
                <w:rFonts w:cs="Arial"/>
                <w:b/>
              </w:rPr>
              <w:t>Finalidad</w:t>
            </w:r>
            <w:proofErr w:type="spellEnd"/>
          </w:p>
        </w:tc>
        <w:tc>
          <w:tcPr>
            <w:tcW w:w="3324" w:type="dxa"/>
            <w:vAlign w:val="center"/>
          </w:tcPr>
          <w:p w14:paraId="33A10DC6" w14:textId="77777777" w:rsidR="00DF36C6" w:rsidRPr="00DB0044" w:rsidRDefault="00000000" w:rsidP="007466D7">
            <w:pPr>
              <w:widowControl w:val="0"/>
              <w:jc w:val="center"/>
              <w:rPr>
                <w:rFonts w:cs="Arial"/>
              </w:rPr>
            </w:pPr>
            <w:proofErr w:type="spellStart"/>
            <w:r w:rsidRPr="00DB0044">
              <w:rPr>
                <w:rFonts w:cs="Arial"/>
                <w:b/>
              </w:rPr>
              <w:t>Límite</w:t>
            </w:r>
            <w:proofErr w:type="spellEnd"/>
            <w:r w:rsidRPr="00DB0044">
              <w:rPr>
                <w:rFonts w:cs="Arial"/>
                <w:b/>
              </w:rPr>
              <w:t xml:space="preserve"> </w:t>
            </w:r>
            <w:proofErr w:type="spellStart"/>
            <w:r w:rsidRPr="00DB0044">
              <w:rPr>
                <w:rFonts w:cs="Arial"/>
                <w:b/>
              </w:rPr>
              <w:t>jurídico</w:t>
            </w:r>
            <w:proofErr w:type="spellEnd"/>
          </w:p>
        </w:tc>
      </w:tr>
      <w:tr w:rsidR="00DF36C6" w:rsidRPr="000A7C8B" w14:paraId="45917F8B" w14:textId="77777777" w:rsidTr="00DB0044">
        <w:trPr>
          <w:jc w:val="center"/>
        </w:trPr>
        <w:tc>
          <w:tcPr>
            <w:tcW w:w="2366" w:type="dxa"/>
            <w:vAlign w:val="center"/>
          </w:tcPr>
          <w:p w14:paraId="6C21E057" w14:textId="77777777" w:rsidR="00DF36C6" w:rsidRPr="00DB0044" w:rsidRDefault="00000000" w:rsidP="007466D7">
            <w:pPr>
              <w:widowControl w:val="0"/>
              <w:jc w:val="both"/>
              <w:rPr>
                <w:rFonts w:cs="Arial"/>
              </w:rPr>
            </w:pPr>
            <w:proofErr w:type="spellStart"/>
            <w:r w:rsidRPr="00DB0044">
              <w:rPr>
                <w:rFonts w:cs="Arial"/>
              </w:rPr>
              <w:t>Identificación</w:t>
            </w:r>
            <w:proofErr w:type="spellEnd"/>
            <w:r w:rsidRPr="00DB0044">
              <w:rPr>
                <w:rFonts w:cs="Arial"/>
              </w:rPr>
              <w:t xml:space="preserve"> de </w:t>
            </w:r>
            <w:proofErr w:type="spellStart"/>
            <w:r w:rsidRPr="00DB0044">
              <w:rPr>
                <w:rFonts w:cs="Arial"/>
              </w:rPr>
              <w:t>actuación</w:t>
            </w:r>
            <w:proofErr w:type="spellEnd"/>
          </w:p>
        </w:tc>
        <w:tc>
          <w:tcPr>
            <w:tcW w:w="4292" w:type="dxa"/>
            <w:vAlign w:val="center"/>
          </w:tcPr>
          <w:p w14:paraId="6AA8592C" w14:textId="77777777" w:rsidR="00DF36C6" w:rsidRPr="00DB0044" w:rsidRDefault="00000000" w:rsidP="007466D7">
            <w:pPr>
              <w:widowControl w:val="0"/>
              <w:jc w:val="both"/>
              <w:rPr>
                <w:rFonts w:cs="Arial"/>
                <w:lang w:val="es-CO"/>
              </w:rPr>
            </w:pPr>
            <w:r w:rsidRPr="00DB0044">
              <w:rPr>
                <w:rFonts w:cs="Arial"/>
                <w:lang w:val="es-CO"/>
              </w:rPr>
              <w:t>Determinar modalidad, alcance y fuente de información.</w:t>
            </w:r>
          </w:p>
        </w:tc>
        <w:tc>
          <w:tcPr>
            <w:tcW w:w="3324" w:type="dxa"/>
            <w:vAlign w:val="center"/>
          </w:tcPr>
          <w:p w14:paraId="5771D8A8" w14:textId="77777777" w:rsidR="00DF36C6" w:rsidRPr="00DB0044" w:rsidRDefault="00000000" w:rsidP="007466D7">
            <w:pPr>
              <w:widowControl w:val="0"/>
              <w:jc w:val="both"/>
              <w:rPr>
                <w:rFonts w:cs="Arial"/>
                <w:lang w:val="es-CO"/>
              </w:rPr>
            </w:pPr>
            <w:r w:rsidRPr="00DB0044">
              <w:rPr>
                <w:rFonts w:cs="Arial"/>
                <w:lang w:val="es-CO"/>
              </w:rPr>
              <w:t>No amplía competencia ni crea trámite.</w:t>
            </w:r>
          </w:p>
        </w:tc>
      </w:tr>
      <w:tr w:rsidR="00DF36C6" w:rsidRPr="000A7C8B" w14:paraId="6535EDD1" w14:textId="77777777" w:rsidTr="00DB0044">
        <w:trPr>
          <w:jc w:val="center"/>
        </w:trPr>
        <w:tc>
          <w:tcPr>
            <w:tcW w:w="2366" w:type="dxa"/>
            <w:vAlign w:val="center"/>
          </w:tcPr>
          <w:p w14:paraId="79D6E184" w14:textId="77777777" w:rsidR="00DF36C6" w:rsidRPr="00DB0044" w:rsidRDefault="00000000" w:rsidP="007466D7">
            <w:pPr>
              <w:widowControl w:val="0"/>
              <w:jc w:val="both"/>
              <w:rPr>
                <w:rFonts w:cs="Arial"/>
              </w:rPr>
            </w:pPr>
            <w:proofErr w:type="spellStart"/>
            <w:r w:rsidRPr="00DB0044">
              <w:rPr>
                <w:rFonts w:cs="Arial"/>
              </w:rPr>
              <w:t>Identificación</w:t>
            </w:r>
            <w:proofErr w:type="spellEnd"/>
            <w:r w:rsidRPr="00DB0044">
              <w:rPr>
                <w:rFonts w:cs="Arial"/>
              </w:rPr>
              <w:t xml:space="preserve"> del </w:t>
            </w:r>
            <w:proofErr w:type="spellStart"/>
            <w:r w:rsidRPr="00DB0044">
              <w:rPr>
                <w:rFonts w:cs="Arial"/>
              </w:rPr>
              <w:t>sujeto</w:t>
            </w:r>
            <w:proofErr w:type="spellEnd"/>
          </w:p>
        </w:tc>
        <w:tc>
          <w:tcPr>
            <w:tcW w:w="4292" w:type="dxa"/>
            <w:vAlign w:val="center"/>
          </w:tcPr>
          <w:p w14:paraId="439685FB" w14:textId="77777777" w:rsidR="00DF36C6" w:rsidRPr="00DB0044" w:rsidRDefault="00000000" w:rsidP="007466D7">
            <w:pPr>
              <w:widowControl w:val="0"/>
              <w:jc w:val="both"/>
              <w:rPr>
                <w:rFonts w:cs="Arial"/>
                <w:lang w:val="es-CO"/>
              </w:rPr>
            </w:pPr>
            <w:r w:rsidRPr="00DB0044">
              <w:rPr>
                <w:rFonts w:cs="Arial"/>
                <w:lang w:val="es-CO"/>
              </w:rPr>
              <w:t>Precisar rol documental y disponibilidad razonable de información.</w:t>
            </w:r>
          </w:p>
        </w:tc>
        <w:tc>
          <w:tcPr>
            <w:tcW w:w="3324" w:type="dxa"/>
            <w:vAlign w:val="center"/>
          </w:tcPr>
          <w:p w14:paraId="009EBFEF" w14:textId="77777777" w:rsidR="00DF36C6" w:rsidRPr="00DB0044" w:rsidRDefault="00000000" w:rsidP="007466D7">
            <w:pPr>
              <w:widowControl w:val="0"/>
              <w:jc w:val="both"/>
              <w:rPr>
                <w:rFonts w:cs="Arial"/>
                <w:lang w:val="es-CO"/>
              </w:rPr>
            </w:pPr>
            <w:r w:rsidRPr="00DB0044">
              <w:rPr>
                <w:rFonts w:cs="Arial"/>
                <w:lang w:val="es-CO"/>
              </w:rPr>
              <w:t>No atribuye responsabilidad material por eficacia del tratamiento.</w:t>
            </w:r>
          </w:p>
        </w:tc>
      </w:tr>
      <w:tr w:rsidR="00DF36C6" w:rsidRPr="000A7C8B" w14:paraId="624499EF" w14:textId="77777777" w:rsidTr="00DB0044">
        <w:trPr>
          <w:jc w:val="center"/>
        </w:trPr>
        <w:tc>
          <w:tcPr>
            <w:tcW w:w="2366" w:type="dxa"/>
            <w:vAlign w:val="center"/>
          </w:tcPr>
          <w:p w14:paraId="60F15B65" w14:textId="77777777" w:rsidR="00DF36C6" w:rsidRPr="00DB0044" w:rsidRDefault="00000000" w:rsidP="007466D7">
            <w:pPr>
              <w:widowControl w:val="0"/>
              <w:jc w:val="both"/>
              <w:rPr>
                <w:rFonts w:cs="Arial"/>
              </w:rPr>
            </w:pPr>
            <w:proofErr w:type="spellStart"/>
            <w:r w:rsidRPr="00DB0044">
              <w:rPr>
                <w:rFonts w:cs="Arial"/>
              </w:rPr>
              <w:lastRenderedPageBreak/>
              <w:t>Revisión</w:t>
            </w:r>
            <w:proofErr w:type="spellEnd"/>
            <w:r w:rsidRPr="00DB0044">
              <w:rPr>
                <w:rFonts w:cs="Arial"/>
              </w:rPr>
              <w:t xml:space="preserve"> de </w:t>
            </w:r>
            <w:proofErr w:type="spellStart"/>
            <w:r w:rsidRPr="00DB0044">
              <w:rPr>
                <w:rFonts w:cs="Arial"/>
              </w:rPr>
              <w:t>evidencia</w:t>
            </w:r>
            <w:proofErr w:type="spellEnd"/>
          </w:p>
        </w:tc>
        <w:tc>
          <w:tcPr>
            <w:tcW w:w="4292" w:type="dxa"/>
            <w:vAlign w:val="center"/>
          </w:tcPr>
          <w:p w14:paraId="264C0949" w14:textId="77777777" w:rsidR="00DF36C6" w:rsidRPr="00DB0044" w:rsidRDefault="00000000" w:rsidP="007466D7">
            <w:pPr>
              <w:widowControl w:val="0"/>
              <w:jc w:val="both"/>
              <w:rPr>
                <w:rFonts w:cs="Arial"/>
                <w:lang w:val="es-CO"/>
              </w:rPr>
            </w:pPr>
            <w:r w:rsidRPr="00DB0044">
              <w:rPr>
                <w:rFonts w:cs="Arial"/>
                <w:lang w:val="es-CO"/>
              </w:rPr>
              <w:t>Verificar soportes que permitan reconstrucción administrativa.</w:t>
            </w:r>
          </w:p>
        </w:tc>
        <w:tc>
          <w:tcPr>
            <w:tcW w:w="3324" w:type="dxa"/>
            <w:vAlign w:val="center"/>
          </w:tcPr>
          <w:p w14:paraId="4E0CF5F5" w14:textId="77777777" w:rsidR="00DF36C6" w:rsidRPr="00DB0044" w:rsidRDefault="00000000" w:rsidP="007466D7">
            <w:pPr>
              <w:widowControl w:val="0"/>
              <w:jc w:val="both"/>
              <w:rPr>
                <w:rFonts w:cs="Arial"/>
                <w:lang w:val="es-CO"/>
              </w:rPr>
            </w:pPr>
            <w:r w:rsidRPr="00DB0044">
              <w:rPr>
                <w:rFonts w:cs="Arial"/>
                <w:lang w:val="es-CO"/>
              </w:rPr>
              <w:t>No exige ensayos, certificaciones ni evaluación de conformidad.</w:t>
            </w:r>
          </w:p>
        </w:tc>
      </w:tr>
      <w:tr w:rsidR="00DF36C6" w:rsidRPr="000A7C8B" w14:paraId="23DB03C4" w14:textId="77777777" w:rsidTr="00DB0044">
        <w:trPr>
          <w:jc w:val="center"/>
        </w:trPr>
        <w:tc>
          <w:tcPr>
            <w:tcW w:w="2366" w:type="dxa"/>
            <w:vAlign w:val="center"/>
          </w:tcPr>
          <w:p w14:paraId="7CD24F2C" w14:textId="77777777" w:rsidR="00DF36C6" w:rsidRPr="00DB0044" w:rsidRDefault="00000000" w:rsidP="007466D7">
            <w:pPr>
              <w:widowControl w:val="0"/>
              <w:jc w:val="both"/>
              <w:rPr>
                <w:rFonts w:cs="Arial"/>
              </w:rPr>
            </w:pPr>
            <w:proofErr w:type="spellStart"/>
            <w:r w:rsidRPr="00DB0044">
              <w:rPr>
                <w:rFonts w:cs="Arial"/>
              </w:rPr>
              <w:t>Trazabilidad</w:t>
            </w:r>
            <w:proofErr w:type="spellEnd"/>
          </w:p>
        </w:tc>
        <w:tc>
          <w:tcPr>
            <w:tcW w:w="4292" w:type="dxa"/>
            <w:vAlign w:val="center"/>
          </w:tcPr>
          <w:p w14:paraId="2B3433A9" w14:textId="77777777" w:rsidR="00DF36C6" w:rsidRPr="00DB0044" w:rsidRDefault="00000000" w:rsidP="007466D7">
            <w:pPr>
              <w:widowControl w:val="0"/>
              <w:jc w:val="both"/>
              <w:rPr>
                <w:rFonts w:cs="Arial"/>
                <w:lang w:val="es-CO"/>
              </w:rPr>
            </w:pPr>
            <w:r w:rsidRPr="00DB0044">
              <w:rPr>
                <w:rFonts w:cs="Arial"/>
                <w:lang w:val="es-CO"/>
              </w:rPr>
              <w:t>Relacionar contenedor, proceso, responsable, fecha, lugar, secuencia y cierre.</w:t>
            </w:r>
          </w:p>
        </w:tc>
        <w:tc>
          <w:tcPr>
            <w:tcW w:w="3324" w:type="dxa"/>
            <w:vAlign w:val="center"/>
          </w:tcPr>
          <w:p w14:paraId="0CAEAACC" w14:textId="77777777" w:rsidR="00DF36C6" w:rsidRPr="00DB0044" w:rsidRDefault="00000000" w:rsidP="007466D7">
            <w:pPr>
              <w:widowControl w:val="0"/>
              <w:jc w:val="both"/>
              <w:rPr>
                <w:rFonts w:cs="Arial"/>
                <w:lang w:val="es-CO"/>
              </w:rPr>
            </w:pPr>
            <w:r w:rsidRPr="00DB0044">
              <w:rPr>
                <w:rFonts w:cs="Arial"/>
                <w:lang w:val="es-CO"/>
              </w:rPr>
              <w:t>No equivale a liberación ni autorización del contenedor.</w:t>
            </w:r>
          </w:p>
        </w:tc>
      </w:tr>
      <w:tr w:rsidR="00DF36C6" w:rsidRPr="000A7C8B" w14:paraId="01E7F258" w14:textId="77777777" w:rsidTr="00DB0044">
        <w:trPr>
          <w:jc w:val="center"/>
        </w:trPr>
        <w:tc>
          <w:tcPr>
            <w:tcW w:w="2366" w:type="dxa"/>
            <w:vAlign w:val="center"/>
          </w:tcPr>
          <w:p w14:paraId="242C3DC3" w14:textId="77777777" w:rsidR="00DF36C6" w:rsidRPr="00DB0044" w:rsidRDefault="00000000" w:rsidP="007466D7">
            <w:pPr>
              <w:widowControl w:val="0"/>
              <w:jc w:val="both"/>
              <w:rPr>
                <w:rFonts w:cs="Arial"/>
              </w:rPr>
            </w:pPr>
            <w:proofErr w:type="spellStart"/>
            <w:r w:rsidRPr="00DB0044">
              <w:rPr>
                <w:rFonts w:cs="Arial"/>
              </w:rPr>
              <w:t>Hallazgos</w:t>
            </w:r>
            <w:proofErr w:type="spellEnd"/>
          </w:p>
        </w:tc>
        <w:tc>
          <w:tcPr>
            <w:tcW w:w="4292" w:type="dxa"/>
            <w:vAlign w:val="center"/>
          </w:tcPr>
          <w:p w14:paraId="504A2739" w14:textId="77777777" w:rsidR="00DF36C6" w:rsidRPr="00DB0044" w:rsidRDefault="00000000" w:rsidP="007466D7">
            <w:pPr>
              <w:widowControl w:val="0"/>
              <w:jc w:val="both"/>
              <w:rPr>
                <w:rFonts w:cs="Arial"/>
                <w:lang w:val="es-CO"/>
              </w:rPr>
            </w:pPr>
            <w:r w:rsidRPr="00DB0044">
              <w:rPr>
                <w:rFonts w:cs="Arial"/>
                <w:lang w:val="es-CO"/>
              </w:rPr>
              <w:t>Registrar ausencia, insuficiencia, inconsistencia o limitación de información.</w:t>
            </w:r>
          </w:p>
        </w:tc>
        <w:tc>
          <w:tcPr>
            <w:tcW w:w="3324" w:type="dxa"/>
            <w:vAlign w:val="center"/>
          </w:tcPr>
          <w:p w14:paraId="47CF9730" w14:textId="77777777" w:rsidR="00DF36C6" w:rsidRPr="00DB0044" w:rsidRDefault="00000000" w:rsidP="007466D7">
            <w:pPr>
              <w:widowControl w:val="0"/>
              <w:jc w:val="both"/>
              <w:rPr>
                <w:rFonts w:cs="Arial"/>
                <w:lang w:val="es-CO"/>
              </w:rPr>
            </w:pPr>
            <w:r w:rsidRPr="00DB0044">
              <w:rPr>
                <w:rFonts w:cs="Arial"/>
                <w:lang w:val="es-CO"/>
              </w:rPr>
              <w:t>No formular hallazgos sanitarios, fitosanitarios, ambientales o de inocuidad.</w:t>
            </w:r>
          </w:p>
        </w:tc>
      </w:tr>
      <w:tr w:rsidR="00DF36C6" w:rsidRPr="000A7C8B" w14:paraId="3F47CA5E" w14:textId="77777777" w:rsidTr="00DB0044">
        <w:trPr>
          <w:jc w:val="center"/>
        </w:trPr>
        <w:tc>
          <w:tcPr>
            <w:tcW w:w="2366" w:type="dxa"/>
            <w:vAlign w:val="center"/>
          </w:tcPr>
          <w:p w14:paraId="3A48CEA5" w14:textId="77777777" w:rsidR="00DF36C6" w:rsidRPr="00DB0044" w:rsidRDefault="00000000" w:rsidP="007466D7">
            <w:pPr>
              <w:widowControl w:val="0"/>
              <w:jc w:val="both"/>
              <w:rPr>
                <w:rFonts w:cs="Arial"/>
              </w:rPr>
            </w:pPr>
            <w:proofErr w:type="spellStart"/>
            <w:r w:rsidRPr="00DB0044">
              <w:rPr>
                <w:rFonts w:cs="Arial"/>
              </w:rPr>
              <w:t>Conclusión</w:t>
            </w:r>
            <w:proofErr w:type="spellEnd"/>
            <w:r w:rsidRPr="00DB0044">
              <w:rPr>
                <w:rFonts w:cs="Arial"/>
              </w:rPr>
              <w:t xml:space="preserve"> </w:t>
            </w:r>
            <w:proofErr w:type="spellStart"/>
            <w:r w:rsidRPr="00DB0044">
              <w:rPr>
                <w:rFonts w:cs="Arial"/>
              </w:rPr>
              <w:t>administrativa</w:t>
            </w:r>
            <w:proofErr w:type="spellEnd"/>
          </w:p>
        </w:tc>
        <w:tc>
          <w:tcPr>
            <w:tcW w:w="4292" w:type="dxa"/>
            <w:vAlign w:val="center"/>
          </w:tcPr>
          <w:p w14:paraId="162C5E06" w14:textId="77777777" w:rsidR="00DF36C6" w:rsidRPr="00DB0044" w:rsidRDefault="00000000" w:rsidP="007466D7">
            <w:pPr>
              <w:widowControl w:val="0"/>
              <w:jc w:val="both"/>
              <w:rPr>
                <w:rFonts w:cs="Arial"/>
                <w:lang w:val="es-CO"/>
              </w:rPr>
            </w:pPr>
            <w:r w:rsidRPr="00DB0044">
              <w:rPr>
                <w:rFonts w:cs="Arial"/>
                <w:lang w:val="es-CO"/>
              </w:rPr>
              <w:t>Determinar grado de verificabilidad administrativa.</w:t>
            </w:r>
          </w:p>
        </w:tc>
        <w:tc>
          <w:tcPr>
            <w:tcW w:w="3324" w:type="dxa"/>
            <w:vAlign w:val="center"/>
          </w:tcPr>
          <w:p w14:paraId="3F1FBAA3" w14:textId="77777777" w:rsidR="00DF36C6" w:rsidRPr="00DB0044" w:rsidRDefault="00000000" w:rsidP="007466D7">
            <w:pPr>
              <w:widowControl w:val="0"/>
              <w:jc w:val="both"/>
              <w:rPr>
                <w:rFonts w:cs="Arial"/>
                <w:lang w:val="es-CO"/>
              </w:rPr>
            </w:pPr>
            <w:r w:rsidRPr="00DB0044">
              <w:rPr>
                <w:rFonts w:cs="Arial"/>
                <w:lang w:val="es-CO"/>
              </w:rPr>
              <w:t>No certificar, homologar, validar, aprobar o rechazar el tratamiento.</w:t>
            </w:r>
          </w:p>
        </w:tc>
      </w:tr>
    </w:tbl>
    <w:p w14:paraId="5008A8BD" w14:textId="77777777" w:rsidR="00DB0044" w:rsidRPr="00DB0044" w:rsidRDefault="00DB0044" w:rsidP="007466D7">
      <w:pPr>
        <w:pStyle w:val="Ttulo1"/>
        <w:keepNext w:val="0"/>
        <w:keepLines w:val="0"/>
        <w:widowControl w:val="0"/>
        <w:rPr>
          <w:rFonts w:ascii="Arial" w:eastAsia="Arial" w:hAnsi="Arial" w:cs="Arial"/>
          <w:b w:val="0"/>
          <w:bCs w:val="0"/>
          <w:color w:val="auto"/>
          <w:sz w:val="22"/>
          <w:szCs w:val="22"/>
          <w:lang w:val="es-CO"/>
        </w:rPr>
      </w:pPr>
    </w:p>
    <w:p w14:paraId="402B591B" w14:textId="2C0B7EB5" w:rsidR="00DF36C6" w:rsidRPr="00DB0044" w:rsidRDefault="00000000" w:rsidP="007466D7">
      <w:pPr>
        <w:pStyle w:val="Ttulo1"/>
        <w:keepNext w:val="0"/>
        <w:keepLines w:val="0"/>
        <w:widowControl w:val="0"/>
        <w:rPr>
          <w:rFonts w:ascii="Arial" w:hAnsi="Arial" w:cs="Arial"/>
          <w:color w:val="auto"/>
          <w:sz w:val="22"/>
          <w:szCs w:val="22"/>
          <w:lang w:val="es-CO"/>
        </w:rPr>
      </w:pPr>
      <w:r w:rsidRPr="00DB0044">
        <w:rPr>
          <w:rFonts w:ascii="Arial" w:eastAsia="Arial" w:hAnsi="Arial" w:cs="Arial"/>
          <w:color w:val="auto"/>
          <w:sz w:val="22"/>
          <w:szCs w:val="22"/>
          <w:lang w:val="es-CO"/>
        </w:rPr>
        <w:t>7. Evidencia mínima verificable</w:t>
      </w:r>
    </w:p>
    <w:p w14:paraId="320FCF31" w14:textId="77777777" w:rsidR="00DB0044" w:rsidRPr="00DB0044" w:rsidRDefault="00DB0044" w:rsidP="007466D7">
      <w:pPr>
        <w:widowControl w:val="0"/>
        <w:jc w:val="both"/>
        <w:rPr>
          <w:rFonts w:cs="Arial"/>
          <w:lang w:val="es-CO"/>
        </w:rPr>
      </w:pPr>
    </w:p>
    <w:p w14:paraId="5A063C4B" w14:textId="782EAF81" w:rsidR="00DF36C6" w:rsidRPr="00DB0044" w:rsidRDefault="00000000" w:rsidP="007466D7">
      <w:pPr>
        <w:widowControl w:val="0"/>
        <w:jc w:val="both"/>
        <w:rPr>
          <w:rFonts w:cs="Arial"/>
          <w:lang w:val="es-CO"/>
        </w:rPr>
      </w:pPr>
      <w:r w:rsidRPr="00DB0044">
        <w:rPr>
          <w:rFonts w:cs="Arial"/>
          <w:lang w:val="es-CO"/>
        </w:rPr>
        <w:t>La evidencia mínima verificable es el insumo central de la actuación de verificación administrativa. Debe permitir asociar de manera objetiva el contenedor vacío con el proceso documentado, el responsable según su rol, la fecha, hora o intervalo, el lugar, la secuencia básica, las contingencias relevantes y el cierre documental.</w:t>
      </w:r>
    </w:p>
    <w:p w14:paraId="5906DB64" w14:textId="77777777" w:rsidR="00DB0044" w:rsidRPr="00DB0044" w:rsidRDefault="00DB0044" w:rsidP="007466D7">
      <w:pPr>
        <w:widowControl w:val="0"/>
        <w:jc w:val="both"/>
        <w:rPr>
          <w:rFonts w:cs="Arial"/>
          <w:lang w:val="es-CO"/>
        </w:rPr>
      </w:pPr>
    </w:p>
    <w:p w14:paraId="3C440122" w14:textId="238C50DC" w:rsidR="00DF36C6" w:rsidRPr="00DB0044" w:rsidRDefault="00000000" w:rsidP="007466D7">
      <w:pPr>
        <w:widowControl w:val="0"/>
        <w:jc w:val="both"/>
        <w:rPr>
          <w:rFonts w:cs="Arial"/>
          <w:lang w:val="es-CO"/>
        </w:rPr>
      </w:pPr>
      <w:r w:rsidRPr="00DB0044">
        <w:rPr>
          <w:rFonts w:cs="Arial"/>
          <w:lang w:val="es-CO"/>
        </w:rPr>
        <w:t>La evidencia podrá estar contenida en registros físicos, digitales, fotográficos, audiovisuales, documentales, operativos, formularios internos, sistemas de información, actas, órdenes de servicio, reportes, constancias operativas no sanitarias, bitácoras, soportes contractuales o cualquier otro medio que permita reconstrucción administrativa suficiente.</w:t>
      </w:r>
    </w:p>
    <w:p w14:paraId="73049D45" w14:textId="77777777" w:rsidR="00DB0044" w:rsidRPr="00DB0044" w:rsidRDefault="00DB0044" w:rsidP="007466D7">
      <w:pPr>
        <w:widowControl w:val="0"/>
        <w:jc w:val="both"/>
        <w:rPr>
          <w:rFonts w:cs="Arial"/>
          <w:lang w:val="es-CO"/>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410"/>
        <w:gridCol w:w="3654"/>
        <w:gridCol w:w="3709"/>
      </w:tblGrid>
      <w:tr w:rsidR="00DF36C6" w:rsidRPr="00DB0044" w14:paraId="03CFE8A1" w14:textId="77777777" w:rsidTr="00DB0044">
        <w:trPr>
          <w:jc w:val="center"/>
        </w:trPr>
        <w:tc>
          <w:tcPr>
            <w:tcW w:w="2410" w:type="dxa"/>
            <w:vAlign w:val="center"/>
          </w:tcPr>
          <w:p w14:paraId="17EC40CF" w14:textId="77777777" w:rsidR="00DF36C6" w:rsidRPr="00DB0044" w:rsidRDefault="00000000" w:rsidP="007466D7">
            <w:pPr>
              <w:widowControl w:val="0"/>
              <w:jc w:val="center"/>
              <w:rPr>
                <w:rFonts w:cs="Arial"/>
              </w:rPr>
            </w:pPr>
            <w:proofErr w:type="spellStart"/>
            <w:r w:rsidRPr="00DB0044">
              <w:rPr>
                <w:rFonts w:cs="Arial"/>
                <w:b/>
              </w:rPr>
              <w:t>Elemento</w:t>
            </w:r>
            <w:proofErr w:type="spellEnd"/>
            <w:r w:rsidRPr="00DB0044">
              <w:rPr>
                <w:rFonts w:cs="Arial"/>
                <w:b/>
              </w:rPr>
              <w:t xml:space="preserve"> </w:t>
            </w:r>
            <w:proofErr w:type="spellStart"/>
            <w:r w:rsidRPr="00DB0044">
              <w:rPr>
                <w:rFonts w:cs="Arial"/>
                <w:b/>
              </w:rPr>
              <w:t>verificable</w:t>
            </w:r>
            <w:proofErr w:type="spellEnd"/>
          </w:p>
        </w:tc>
        <w:tc>
          <w:tcPr>
            <w:tcW w:w="3654" w:type="dxa"/>
            <w:vAlign w:val="center"/>
          </w:tcPr>
          <w:p w14:paraId="5D7EF54D" w14:textId="77777777" w:rsidR="00DF36C6" w:rsidRPr="00DB0044" w:rsidRDefault="00000000" w:rsidP="007466D7">
            <w:pPr>
              <w:widowControl w:val="0"/>
              <w:jc w:val="center"/>
              <w:rPr>
                <w:rFonts w:cs="Arial"/>
              </w:rPr>
            </w:pPr>
            <w:proofErr w:type="spellStart"/>
            <w:r w:rsidRPr="00DB0044">
              <w:rPr>
                <w:rFonts w:cs="Arial"/>
                <w:b/>
              </w:rPr>
              <w:t>Evidencia</w:t>
            </w:r>
            <w:proofErr w:type="spellEnd"/>
            <w:r w:rsidRPr="00DB0044">
              <w:rPr>
                <w:rFonts w:cs="Arial"/>
                <w:b/>
              </w:rPr>
              <w:t xml:space="preserve"> </w:t>
            </w:r>
            <w:proofErr w:type="spellStart"/>
            <w:r w:rsidRPr="00DB0044">
              <w:rPr>
                <w:rFonts w:cs="Arial"/>
                <w:b/>
              </w:rPr>
              <w:t>esperada</w:t>
            </w:r>
            <w:proofErr w:type="spellEnd"/>
          </w:p>
        </w:tc>
        <w:tc>
          <w:tcPr>
            <w:tcW w:w="3709" w:type="dxa"/>
            <w:vAlign w:val="center"/>
          </w:tcPr>
          <w:p w14:paraId="6A957C56" w14:textId="77777777" w:rsidR="00DF36C6" w:rsidRPr="00DB0044" w:rsidRDefault="00000000" w:rsidP="007466D7">
            <w:pPr>
              <w:widowControl w:val="0"/>
              <w:jc w:val="center"/>
              <w:rPr>
                <w:rFonts w:cs="Arial"/>
              </w:rPr>
            </w:pPr>
            <w:proofErr w:type="spellStart"/>
            <w:r w:rsidRPr="00DB0044">
              <w:rPr>
                <w:rFonts w:cs="Arial"/>
                <w:b/>
              </w:rPr>
              <w:t>Criterio</w:t>
            </w:r>
            <w:proofErr w:type="spellEnd"/>
            <w:r w:rsidRPr="00DB0044">
              <w:rPr>
                <w:rFonts w:cs="Arial"/>
                <w:b/>
              </w:rPr>
              <w:t xml:space="preserve"> de </w:t>
            </w:r>
            <w:proofErr w:type="spellStart"/>
            <w:r w:rsidRPr="00DB0044">
              <w:rPr>
                <w:rFonts w:cs="Arial"/>
                <w:b/>
              </w:rPr>
              <w:t>valoración</w:t>
            </w:r>
            <w:proofErr w:type="spellEnd"/>
            <w:r w:rsidRPr="00DB0044">
              <w:rPr>
                <w:rFonts w:cs="Arial"/>
                <w:b/>
              </w:rPr>
              <w:t xml:space="preserve"> </w:t>
            </w:r>
            <w:proofErr w:type="spellStart"/>
            <w:r w:rsidRPr="00DB0044">
              <w:rPr>
                <w:rFonts w:cs="Arial"/>
                <w:b/>
              </w:rPr>
              <w:t>administrativa</w:t>
            </w:r>
            <w:proofErr w:type="spellEnd"/>
          </w:p>
        </w:tc>
      </w:tr>
      <w:tr w:rsidR="00DF36C6" w:rsidRPr="000A7C8B" w14:paraId="62811A30" w14:textId="77777777" w:rsidTr="00DB0044">
        <w:trPr>
          <w:jc w:val="center"/>
        </w:trPr>
        <w:tc>
          <w:tcPr>
            <w:tcW w:w="2410" w:type="dxa"/>
            <w:vAlign w:val="center"/>
          </w:tcPr>
          <w:p w14:paraId="5A1C25DA" w14:textId="77777777" w:rsidR="00DF36C6" w:rsidRPr="00DB0044" w:rsidRDefault="00000000" w:rsidP="007466D7">
            <w:pPr>
              <w:widowControl w:val="0"/>
              <w:jc w:val="both"/>
              <w:rPr>
                <w:rFonts w:cs="Arial"/>
              </w:rPr>
            </w:pPr>
            <w:proofErr w:type="spellStart"/>
            <w:r w:rsidRPr="00DB0044">
              <w:rPr>
                <w:rFonts w:cs="Arial"/>
              </w:rPr>
              <w:t>Identificación</w:t>
            </w:r>
            <w:proofErr w:type="spellEnd"/>
            <w:r w:rsidRPr="00DB0044">
              <w:rPr>
                <w:rFonts w:cs="Arial"/>
              </w:rPr>
              <w:t xml:space="preserve"> del </w:t>
            </w:r>
            <w:proofErr w:type="spellStart"/>
            <w:r w:rsidRPr="00DB0044">
              <w:rPr>
                <w:rFonts w:cs="Arial"/>
              </w:rPr>
              <w:t>contenedor</w:t>
            </w:r>
            <w:proofErr w:type="spellEnd"/>
            <w:r w:rsidRPr="00DB0044">
              <w:rPr>
                <w:rFonts w:cs="Arial"/>
              </w:rPr>
              <w:t xml:space="preserve"> </w:t>
            </w:r>
            <w:proofErr w:type="spellStart"/>
            <w:r w:rsidRPr="00DB0044">
              <w:rPr>
                <w:rFonts w:cs="Arial"/>
              </w:rPr>
              <w:t>vacío</w:t>
            </w:r>
            <w:proofErr w:type="spellEnd"/>
          </w:p>
        </w:tc>
        <w:tc>
          <w:tcPr>
            <w:tcW w:w="3654" w:type="dxa"/>
            <w:vAlign w:val="center"/>
          </w:tcPr>
          <w:p w14:paraId="04E51356" w14:textId="77777777" w:rsidR="00DF36C6" w:rsidRPr="00DB0044" w:rsidRDefault="00000000" w:rsidP="007466D7">
            <w:pPr>
              <w:widowControl w:val="0"/>
              <w:jc w:val="both"/>
              <w:rPr>
                <w:rFonts w:cs="Arial"/>
                <w:lang w:val="es-CO"/>
              </w:rPr>
            </w:pPr>
            <w:r w:rsidRPr="00DB0044">
              <w:rPr>
                <w:rFonts w:cs="Arial"/>
                <w:lang w:val="es-CO"/>
              </w:rPr>
              <w:t>Registro, bitácora, fotografía, sistema o soporte documental.</w:t>
            </w:r>
          </w:p>
        </w:tc>
        <w:tc>
          <w:tcPr>
            <w:tcW w:w="3709" w:type="dxa"/>
            <w:vAlign w:val="center"/>
          </w:tcPr>
          <w:p w14:paraId="63237660" w14:textId="77777777" w:rsidR="00DF36C6" w:rsidRPr="00DB0044" w:rsidRDefault="00000000" w:rsidP="007466D7">
            <w:pPr>
              <w:widowControl w:val="0"/>
              <w:jc w:val="both"/>
              <w:rPr>
                <w:rFonts w:cs="Arial"/>
                <w:lang w:val="es-CO"/>
              </w:rPr>
            </w:pPr>
            <w:r w:rsidRPr="00DB0044">
              <w:rPr>
                <w:rFonts w:cs="Arial"/>
                <w:lang w:val="es-CO"/>
              </w:rPr>
              <w:t>Debe permitir asociar el proceso con un contenedor determinado.</w:t>
            </w:r>
          </w:p>
        </w:tc>
      </w:tr>
      <w:tr w:rsidR="00DF36C6" w:rsidRPr="000A7C8B" w14:paraId="2974DB98" w14:textId="77777777" w:rsidTr="00DB0044">
        <w:trPr>
          <w:jc w:val="center"/>
        </w:trPr>
        <w:tc>
          <w:tcPr>
            <w:tcW w:w="2410" w:type="dxa"/>
            <w:vAlign w:val="center"/>
          </w:tcPr>
          <w:p w14:paraId="0DD69110" w14:textId="77777777" w:rsidR="00DF36C6" w:rsidRPr="00DB0044" w:rsidRDefault="00000000" w:rsidP="007466D7">
            <w:pPr>
              <w:widowControl w:val="0"/>
              <w:jc w:val="both"/>
              <w:rPr>
                <w:rFonts w:cs="Arial"/>
              </w:rPr>
            </w:pPr>
            <w:proofErr w:type="spellStart"/>
            <w:r w:rsidRPr="00DB0044">
              <w:rPr>
                <w:rFonts w:cs="Arial"/>
              </w:rPr>
              <w:t>Responsable</w:t>
            </w:r>
            <w:proofErr w:type="spellEnd"/>
            <w:r w:rsidRPr="00DB0044">
              <w:rPr>
                <w:rFonts w:cs="Arial"/>
              </w:rPr>
              <w:t xml:space="preserve"> </w:t>
            </w:r>
            <w:proofErr w:type="spellStart"/>
            <w:r w:rsidRPr="00DB0044">
              <w:rPr>
                <w:rFonts w:cs="Arial"/>
              </w:rPr>
              <w:t>según</w:t>
            </w:r>
            <w:proofErr w:type="spellEnd"/>
            <w:r w:rsidRPr="00DB0044">
              <w:rPr>
                <w:rFonts w:cs="Arial"/>
              </w:rPr>
              <w:t xml:space="preserve"> </w:t>
            </w:r>
            <w:proofErr w:type="spellStart"/>
            <w:r w:rsidRPr="00DB0044">
              <w:rPr>
                <w:rFonts w:cs="Arial"/>
              </w:rPr>
              <w:t>rol</w:t>
            </w:r>
            <w:proofErr w:type="spellEnd"/>
          </w:p>
        </w:tc>
        <w:tc>
          <w:tcPr>
            <w:tcW w:w="3654" w:type="dxa"/>
            <w:vAlign w:val="center"/>
          </w:tcPr>
          <w:p w14:paraId="7B87BC52" w14:textId="77777777" w:rsidR="00DF36C6" w:rsidRPr="00DB0044" w:rsidRDefault="00000000" w:rsidP="007466D7">
            <w:pPr>
              <w:widowControl w:val="0"/>
              <w:jc w:val="both"/>
              <w:rPr>
                <w:rFonts w:cs="Arial"/>
                <w:lang w:val="es-CO"/>
              </w:rPr>
            </w:pPr>
            <w:r w:rsidRPr="00DB0044">
              <w:rPr>
                <w:rFonts w:cs="Arial"/>
                <w:lang w:val="es-CO"/>
              </w:rPr>
              <w:t>Orden de servicio, contrato, registro interno, reporte o soporte equivalente.</w:t>
            </w:r>
          </w:p>
        </w:tc>
        <w:tc>
          <w:tcPr>
            <w:tcW w:w="3709" w:type="dxa"/>
            <w:vAlign w:val="center"/>
          </w:tcPr>
          <w:p w14:paraId="215087C2" w14:textId="77777777" w:rsidR="00DF36C6" w:rsidRPr="00DB0044" w:rsidRDefault="00000000" w:rsidP="007466D7">
            <w:pPr>
              <w:widowControl w:val="0"/>
              <w:jc w:val="both"/>
              <w:rPr>
                <w:rFonts w:cs="Arial"/>
                <w:lang w:val="es-CO"/>
              </w:rPr>
            </w:pPr>
            <w:r w:rsidRPr="00DB0044">
              <w:rPr>
                <w:rFonts w:cs="Arial"/>
                <w:lang w:val="es-CO"/>
              </w:rPr>
              <w:t>Debe identificar quien ordena, ejecuta, coordina, administra, custodia o presenta información.</w:t>
            </w:r>
          </w:p>
        </w:tc>
      </w:tr>
      <w:tr w:rsidR="00DF36C6" w:rsidRPr="000A7C8B" w14:paraId="1E7C9F61" w14:textId="77777777" w:rsidTr="00DB0044">
        <w:trPr>
          <w:jc w:val="center"/>
        </w:trPr>
        <w:tc>
          <w:tcPr>
            <w:tcW w:w="2410" w:type="dxa"/>
            <w:vAlign w:val="center"/>
          </w:tcPr>
          <w:p w14:paraId="03191FF4" w14:textId="77777777" w:rsidR="00DF36C6" w:rsidRPr="00DB0044" w:rsidRDefault="00000000" w:rsidP="007466D7">
            <w:pPr>
              <w:widowControl w:val="0"/>
              <w:jc w:val="both"/>
              <w:rPr>
                <w:rFonts w:cs="Arial"/>
                <w:lang w:val="es-CO"/>
              </w:rPr>
            </w:pPr>
            <w:r w:rsidRPr="00DB0044">
              <w:rPr>
                <w:rFonts w:cs="Arial"/>
                <w:lang w:val="es-CO"/>
              </w:rPr>
              <w:t>Fecha, hora o intervalo y lugar</w:t>
            </w:r>
          </w:p>
        </w:tc>
        <w:tc>
          <w:tcPr>
            <w:tcW w:w="3654" w:type="dxa"/>
            <w:vAlign w:val="center"/>
          </w:tcPr>
          <w:p w14:paraId="75EB7CEC" w14:textId="77777777" w:rsidR="00DF36C6" w:rsidRPr="00DB0044" w:rsidRDefault="00000000" w:rsidP="007466D7">
            <w:pPr>
              <w:widowControl w:val="0"/>
              <w:jc w:val="both"/>
              <w:rPr>
                <w:rFonts w:cs="Arial"/>
                <w:lang w:val="es-CO"/>
              </w:rPr>
            </w:pPr>
            <w:r w:rsidRPr="00DB0044">
              <w:rPr>
                <w:rFonts w:cs="Arial"/>
                <w:lang w:val="es-CO"/>
              </w:rPr>
              <w:t>Bitácora, sistema, registro operativo o evidencia equivalente.</w:t>
            </w:r>
          </w:p>
        </w:tc>
        <w:tc>
          <w:tcPr>
            <w:tcW w:w="3709" w:type="dxa"/>
            <w:vAlign w:val="center"/>
          </w:tcPr>
          <w:p w14:paraId="66246D29" w14:textId="77777777" w:rsidR="00DF36C6" w:rsidRPr="00DB0044" w:rsidRDefault="00000000" w:rsidP="007466D7">
            <w:pPr>
              <w:widowControl w:val="0"/>
              <w:jc w:val="both"/>
              <w:rPr>
                <w:rFonts w:cs="Arial"/>
                <w:lang w:val="es-CO"/>
              </w:rPr>
            </w:pPr>
            <w:r w:rsidRPr="00DB0044">
              <w:rPr>
                <w:rFonts w:cs="Arial"/>
                <w:lang w:val="es-CO"/>
              </w:rPr>
              <w:t>Debe permitir reconstruir cuándo y dónde se ejecutó o documentó el proceso.</w:t>
            </w:r>
          </w:p>
        </w:tc>
      </w:tr>
      <w:tr w:rsidR="00DF36C6" w:rsidRPr="000A7C8B" w14:paraId="3EAEA2D2" w14:textId="77777777" w:rsidTr="00DB0044">
        <w:trPr>
          <w:jc w:val="center"/>
        </w:trPr>
        <w:tc>
          <w:tcPr>
            <w:tcW w:w="2410" w:type="dxa"/>
            <w:vAlign w:val="center"/>
          </w:tcPr>
          <w:p w14:paraId="2DFB0BC7" w14:textId="77777777" w:rsidR="00DF36C6" w:rsidRPr="00DB0044" w:rsidRDefault="00000000" w:rsidP="007466D7">
            <w:pPr>
              <w:widowControl w:val="0"/>
              <w:jc w:val="both"/>
              <w:rPr>
                <w:rFonts w:cs="Arial"/>
              </w:rPr>
            </w:pPr>
            <w:proofErr w:type="spellStart"/>
            <w:r w:rsidRPr="00DB0044">
              <w:rPr>
                <w:rFonts w:cs="Arial"/>
              </w:rPr>
              <w:t>Secuencia</w:t>
            </w:r>
            <w:proofErr w:type="spellEnd"/>
            <w:r w:rsidRPr="00DB0044">
              <w:rPr>
                <w:rFonts w:cs="Arial"/>
              </w:rPr>
              <w:t xml:space="preserve"> </w:t>
            </w:r>
            <w:proofErr w:type="spellStart"/>
            <w:r w:rsidRPr="00DB0044">
              <w:rPr>
                <w:rFonts w:cs="Arial"/>
              </w:rPr>
              <w:t>básica</w:t>
            </w:r>
            <w:proofErr w:type="spellEnd"/>
          </w:p>
        </w:tc>
        <w:tc>
          <w:tcPr>
            <w:tcW w:w="3654" w:type="dxa"/>
            <w:vAlign w:val="center"/>
          </w:tcPr>
          <w:p w14:paraId="12FFAC55" w14:textId="77777777" w:rsidR="00DF36C6" w:rsidRPr="00DB0044" w:rsidRDefault="00000000" w:rsidP="007466D7">
            <w:pPr>
              <w:widowControl w:val="0"/>
              <w:jc w:val="both"/>
              <w:rPr>
                <w:rFonts w:cs="Arial"/>
                <w:lang w:val="es-CO"/>
              </w:rPr>
            </w:pPr>
            <w:r w:rsidRPr="00DB0044">
              <w:rPr>
                <w:rFonts w:cs="Arial"/>
                <w:lang w:val="es-CO"/>
              </w:rPr>
              <w:t>Procedimiento, registro, reporte, bitácora o descripción documentada.</w:t>
            </w:r>
          </w:p>
        </w:tc>
        <w:tc>
          <w:tcPr>
            <w:tcW w:w="3709" w:type="dxa"/>
            <w:vAlign w:val="center"/>
          </w:tcPr>
          <w:p w14:paraId="758306F4" w14:textId="77777777" w:rsidR="00DF36C6" w:rsidRPr="00DB0044" w:rsidRDefault="00000000" w:rsidP="007466D7">
            <w:pPr>
              <w:widowControl w:val="0"/>
              <w:jc w:val="both"/>
              <w:rPr>
                <w:rFonts w:cs="Arial"/>
                <w:lang w:val="es-CO"/>
              </w:rPr>
            </w:pPr>
            <w:r w:rsidRPr="00DB0044">
              <w:rPr>
                <w:rFonts w:cs="Arial"/>
                <w:lang w:val="es-CO"/>
              </w:rPr>
              <w:t>Debe permitir comprender la estructura general sin imponer método específico.</w:t>
            </w:r>
          </w:p>
        </w:tc>
      </w:tr>
      <w:tr w:rsidR="00DF36C6" w:rsidRPr="000A7C8B" w14:paraId="7718B13D" w14:textId="77777777" w:rsidTr="00DB0044">
        <w:trPr>
          <w:jc w:val="center"/>
        </w:trPr>
        <w:tc>
          <w:tcPr>
            <w:tcW w:w="2410" w:type="dxa"/>
            <w:vAlign w:val="center"/>
          </w:tcPr>
          <w:p w14:paraId="4CA92695" w14:textId="77777777" w:rsidR="00DF36C6" w:rsidRPr="00DB0044" w:rsidRDefault="00000000" w:rsidP="007466D7">
            <w:pPr>
              <w:widowControl w:val="0"/>
              <w:jc w:val="both"/>
              <w:rPr>
                <w:rFonts w:cs="Arial"/>
              </w:rPr>
            </w:pPr>
            <w:proofErr w:type="spellStart"/>
            <w:r w:rsidRPr="00DB0044">
              <w:rPr>
                <w:rFonts w:cs="Arial"/>
              </w:rPr>
              <w:t>Contingencias</w:t>
            </w:r>
            <w:proofErr w:type="spellEnd"/>
          </w:p>
        </w:tc>
        <w:tc>
          <w:tcPr>
            <w:tcW w:w="3654" w:type="dxa"/>
            <w:vAlign w:val="center"/>
          </w:tcPr>
          <w:p w14:paraId="103A093C" w14:textId="77777777" w:rsidR="00DF36C6" w:rsidRPr="00DB0044" w:rsidRDefault="00000000" w:rsidP="007466D7">
            <w:pPr>
              <w:widowControl w:val="0"/>
              <w:jc w:val="both"/>
              <w:rPr>
                <w:rFonts w:cs="Arial"/>
                <w:lang w:val="es-CO"/>
              </w:rPr>
            </w:pPr>
            <w:r w:rsidRPr="00DB0044">
              <w:rPr>
                <w:rFonts w:cs="Arial"/>
                <w:lang w:val="es-CO"/>
              </w:rPr>
              <w:t>Registro de interrupción, reinicio, desviación o novedad, cuando existan.</w:t>
            </w:r>
          </w:p>
        </w:tc>
        <w:tc>
          <w:tcPr>
            <w:tcW w:w="3709" w:type="dxa"/>
            <w:vAlign w:val="center"/>
          </w:tcPr>
          <w:p w14:paraId="1D80F3E1" w14:textId="77777777" w:rsidR="00DF36C6" w:rsidRPr="00DB0044" w:rsidRDefault="00000000" w:rsidP="007466D7">
            <w:pPr>
              <w:widowControl w:val="0"/>
              <w:jc w:val="both"/>
              <w:rPr>
                <w:rFonts w:cs="Arial"/>
                <w:lang w:val="es-CO"/>
              </w:rPr>
            </w:pPr>
            <w:r w:rsidRPr="00DB0044">
              <w:rPr>
                <w:rFonts w:cs="Arial"/>
                <w:lang w:val="es-CO"/>
              </w:rPr>
              <w:t>Debe identificar incidencias relevantes para trazabilidad.</w:t>
            </w:r>
          </w:p>
        </w:tc>
      </w:tr>
      <w:tr w:rsidR="00DF36C6" w:rsidRPr="000A7C8B" w14:paraId="6DAD68B1" w14:textId="77777777" w:rsidTr="00DB0044">
        <w:trPr>
          <w:jc w:val="center"/>
        </w:trPr>
        <w:tc>
          <w:tcPr>
            <w:tcW w:w="2410" w:type="dxa"/>
            <w:vAlign w:val="center"/>
          </w:tcPr>
          <w:p w14:paraId="09545B56" w14:textId="77777777" w:rsidR="00DF36C6" w:rsidRPr="00DB0044" w:rsidRDefault="00000000" w:rsidP="007466D7">
            <w:pPr>
              <w:widowControl w:val="0"/>
              <w:jc w:val="both"/>
              <w:rPr>
                <w:rFonts w:cs="Arial"/>
              </w:rPr>
            </w:pPr>
            <w:r w:rsidRPr="00DB0044">
              <w:rPr>
                <w:rFonts w:cs="Arial"/>
              </w:rPr>
              <w:t>Cierre documental</w:t>
            </w:r>
          </w:p>
        </w:tc>
        <w:tc>
          <w:tcPr>
            <w:tcW w:w="3654" w:type="dxa"/>
            <w:vAlign w:val="center"/>
          </w:tcPr>
          <w:p w14:paraId="0440B48F" w14:textId="77777777" w:rsidR="00DF36C6" w:rsidRPr="00DB0044" w:rsidRDefault="00000000" w:rsidP="007466D7">
            <w:pPr>
              <w:widowControl w:val="0"/>
              <w:jc w:val="both"/>
              <w:rPr>
                <w:rFonts w:cs="Arial"/>
                <w:lang w:val="es-CO"/>
              </w:rPr>
            </w:pPr>
            <w:r w:rsidRPr="00DB0044">
              <w:rPr>
                <w:rFonts w:cs="Arial"/>
                <w:lang w:val="es-CO"/>
              </w:rPr>
              <w:t>Registro de finalización, soporte operativo o constancia no sanitaria.</w:t>
            </w:r>
          </w:p>
        </w:tc>
        <w:tc>
          <w:tcPr>
            <w:tcW w:w="3709" w:type="dxa"/>
            <w:vAlign w:val="center"/>
          </w:tcPr>
          <w:p w14:paraId="415B7BE9" w14:textId="77777777" w:rsidR="00DF36C6" w:rsidRPr="00DB0044" w:rsidRDefault="00000000" w:rsidP="007466D7">
            <w:pPr>
              <w:widowControl w:val="0"/>
              <w:jc w:val="both"/>
              <w:rPr>
                <w:rFonts w:cs="Arial"/>
                <w:lang w:val="es-CO"/>
              </w:rPr>
            </w:pPr>
            <w:r w:rsidRPr="00DB0044">
              <w:rPr>
                <w:rFonts w:cs="Arial"/>
                <w:lang w:val="es-CO"/>
              </w:rPr>
              <w:t>Debe evidenciar finalización documental sin efectos de liberación.</w:t>
            </w:r>
          </w:p>
        </w:tc>
      </w:tr>
    </w:tbl>
    <w:p w14:paraId="4240919C" w14:textId="77777777" w:rsidR="00DB0044" w:rsidRPr="00DB0044" w:rsidRDefault="00DB0044" w:rsidP="007466D7">
      <w:pPr>
        <w:pStyle w:val="Ttulo1"/>
        <w:keepNext w:val="0"/>
        <w:keepLines w:val="0"/>
        <w:widowControl w:val="0"/>
        <w:rPr>
          <w:rFonts w:ascii="Arial" w:eastAsia="Arial" w:hAnsi="Arial" w:cs="Arial"/>
          <w:b w:val="0"/>
          <w:bCs w:val="0"/>
          <w:color w:val="auto"/>
          <w:sz w:val="22"/>
          <w:szCs w:val="22"/>
          <w:lang w:val="es-CO"/>
        </w:rPr>
      </w:pPr>
    </w:p>
    <w:p w14:paraId="30964058" w14:textId="13125B2D" w:rsidR="00DF36C6" w:rsidRPr="00DB0044" w:rsidRDefault="00000000" w:rsidP="007466D7">
      <w:pPr>
        <w:pStyle w:val="Ttulo1"/>
        <w:keepNext w:val="0"/>
        <w:keepLines w:val="0"/>
        <w:widowControl w:val="0"/>
        <w:rPr>
          <w:rFonts w:ascii="Arial" w:hAnsi="Arial" w:cs="Arial"/>
          <w:color w:val="auto"/>
          <w:sz w:val="22"/>
          <w:szCs w:val="22"/>
          <w:lang w:val="es-CO"/>
        </w:rPr>
      </w:pPr>
      <w:r w:rsidRPr="00DB0044">
        <w:rPr>
          <w:rFonts w:ascii="Arial" w:eastAsia="Arial" w:hAnsi="Arial" w:cs="Arial"/>
          <w:color w:val="auto"/>
          <w:sz w:val="22"/>
          <w:szCs w:val="22"/>
          <w:lang w:val="es-CO"/>
        </w:rPr>
        <w:t>8. Materia aduanera y cierre documental</w:t>
      </w:r>
    </w:p>
    <w:p w14:paraId="69AE74E5" w14:textId="77777777" w:rsidR="00DB0044" w:rsidRPr="00DB0044" w:rsidRDefault="00DB0044" w:rsidP="007466D7">
      <w:pPr>
        <w:widowControl w:val="0"/>
        <w:jc w:val="both"/>
        <w:rPr>
          <w:rFonts w:cs="Arial"/>
          <w:lang w:val="es-CO"/>
        </w:rPr>
      </w:pPr>
    </w:p>
    <w:p w14:paraId="0F2F3522" w14:textId="718A821D" w:rsidR="00DF36C6" w:rsidRPr="00DB0044" w:rsidRDefault="00000000" w:rsidP="007466D7">
      <w:pPr>
        <w:widowControl w:val="0"/>
        <w:jc w:val="both"/>
        <w:rPr>
          <w:rFonts w:cs="Arial"/>
          <w:lang w:val="es-CO"/>
        </w:rPr>
      </w:pPr>
      <w:r w:rsidRPr="00DB0044">
        <w:rPr>
          <w:rFonts w:cs="Arial"/>
          <w:lang w:val="es-CO"/>
        </w:rPr>
        <w:t>El cierre documental no equivale a levante, autorización, nacionalización, liberación aduanera, disposición de mercancía, autorización comercial, liberación operativa ni decisión propia de la autoridad aduanera. Su finalidad es exclusivamente administrativa y documental, para efectos de trazabilidad e inspección, vigilancia y control por parte de la Superintendencia de Transporte.</w:t>
      </w:r>
    </w:p>
    <w:p w14:paraId="5134C947" w14:textId="77777777" w:rsidR="00DB0044" w:rsidRPr="00DB0044" w:rsidRDefault="00DB0044" w:rsidP="007466D7">
      <w:pPr>
        <w:widowControl w:val="0"/>
        <w:jc w:val="both"/>
        <w:rPr>
          <w:rFonts w:cs="Arial"/>
          <w:lang w:val="es-CO"/>
        </w:rPr>
      </w:pPr>
    </w:p>
    <w:p w14:paraId="2115FF91" w14:textId="64C769DA" w:rsidR="00DF36C6" w:rsidRPr="00DB0044" w:rsidRDefault="00000000" w:rsidP="007466D7">
      <w:pPr>
        <w:widowControl w:val="0"/>
        <w:jc w:val="both"/>
        <w:rPr>
          <w:rFonts w:cs="Arial"/>
          <w:lang w:val="es-CO"/>
        </w:rPr>
      </w:pPr>
      <w:r w:rsidRPr="00DB0044">
        <w:rPr>
          <w:rFonts w:cs="Arial"/>
          <w:lang w:val="es-CO"/>
        </w:rPr>
        <w:lastRenderedPageBreak/>
        <w:t>Cualquier información que pueda corresponder al ámbito de la DIAN o de otra autoridad aduanera deberá ser tratada mediante comunicación, remisión o coordinación institucional, sin que la Superintendencia emita pronunciamiento de fondo sobre la materia aduanera.</w:t>
      </w:r>
    </w:p>
    <w:p w14:paraId="24202F59" w14:textId="77777777" w:rsidR="00DB0044" w:rsidRPr="00DB0044" w:rsidRDefault="00DB0044" w:rsidP="007466D7">
      <w:pPr>
        <w:widowControl w:val="0"/>
        <w:jc w:val="both"/>
        <w:rPr>
          <w:rFonts w:cs="Arial"/>
          <w:lang w:val="es-CO"/>
        </w:rPr>
      </w:pPr>
    </w:p>
    <w:p w14:paraId="63FA2994" w14:textId="77777777" w:rsidR="00DF36C6" w:rsidRPr="00DB0044" w:rsidRDefault="00000000" w:rsidP="007466D7">
      <w:pPr>
        <w:pStyle w:val="Ttulo1"/>
        <w:keepNext w:val="0"/>
        <w:keepLines w:val="0"/>
        <w:widowControl w:val="0"/>
        <w:rPr>
          <w:rFonts w:ascii="Arial" w:hAnsi="Arial" w:cs="Arial"/>
          <w:color w:val="auto"/>
          <w:sz w:val="22"/>
          <w:szCs w:val="22"/>
          <w:lang w:val="es-CO"/>
        </w:rPr>
      </w:pPr>
      <w:r w:rsidRPr="00DB0044">
        <w:rPr>
          <w:rFonts w:ascii="Arial" w:eastAsia="Arial" w:hAnsi="Arial" w:cs="Arial"/>
          <w:color w:val="auto"/>
          <w:sz w:val="22"/>
          <w:szCs w:val="22"/>
          <w:lang w:val="es-CO"/>
        </w:rPr>
        <w:t>9. Hallazgos administrativos</w:t>
      </w:r>
    </w:p>
    <w:p w14:paraId="06614FA9" w14:textId="77777777" w:rsidR="00DB0044" w:rsidRPr="00DB0044" w:rsidRDefault="00DB0044" w:rsidP="007466D7">
      <w:pPr>
        <w:widowControl w:val="0"/>
        <w:jc w:val="both"/>
        <w:rPr>
          <w:rFonts w:cs="Arial"/>
          <w:lang w:val="es-CO"/>
        </w:rPr>
      </w:pPr>
    </w:p>
    <w:p w14:paraId="0F19ECAF" w14:textId="01C53A7C" w:rsidR="00DF36C6" w:rsidRPr="00DB0044" w:rsidRDefault="00000000" w:rsidP="007466D7">
      <w:pPr>
        <w:widowControl w:val="0"/>
        <w:jc w:val="both"/>
        <w:rPr>
          <w:rFonts w:cs="Arial"/>
          <w:lang w:val="es-CO"/>
        </w:rPr>
      </w:pPr>
      <w:r w:rsidRPr="00DB0044">
        <w:rPr>
          <w:rFonts w:cs="Arial"/>
          <w:lang w:val="es-CO"/>
        </w:rPr>
        <w:t>Los hallazgos que se formulen en aplicación del presente anexo deberán limitarse a aspectos de documentación, trazabilidad, disponibilidad, consistencia, integridad, suficiencia de evidencia, cierre documental y limitaciones de información.</w:t>
      </w:r>
    </w:p>
    <w:p w14:paraId="6A31AAEE" w14:textId="77777777" w:rsidR="00DB0044" w:rsidRPr="00DB0044" w:rsidRDefault="00DB0044" w:rsidP="007466D7">
      <w:pPr>
        <w:widowControl w:val="0"/>
        <w:jc w:val="both"/>
        <w:rPr>
          <w:rFonts w:cs="Arial"/>
          <w:lang w:val="es-CO"/>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835"/>
        <w:gridCol w:w="3725"/>
        <w:gridCol w:w="3324"/>
      </w:tblGrid>
      <w:tr w:rsidR="00DF36C6" w:rsidRPr="00DB0044" w14:paraId="52376D5A" w14:textId="77777777" w:rsidTr="00DB0044">
        <w:trPr>
          <w:jc w:val="center"/>
        </w:trPr>
        <w:tc>
          <w:tcPr>
            <w:tcW w:w="2835" w:type="dxa"/>
            <w:vAlign w:val="center"/>
          </w:tcPr>
          <w:p w14:paraId="7099A7D9" w14:textId="77777777" w:rsidR="00DF36C6" w:rsidRPr="00DB0044" w:rsidRDefault="00000000" w:rsidP="007466D7">
            <w:pPr>
              <w:widowControl w:val="0"/>
              <w:jc w:val="center"/>
              <w:rPr>
                <w:rFonts w:cs="Arial"/>
              </w:rPr>
            </w:pPr>
            <w:proofErr w:type="spellStart"/>
            <w:r w:rsidRPr="00DB0044">
              <w:rPr>
                <w:rFonts w:cs="Arial"/>
                <w:b/>
              </w:rPr>
              <w:t>Hallazgo</w:t>
            </w:r>
            <w:proofErr w:type="spellEnd"/>
            <w:r w:rsidRPr="00DB0044">
              <w:rPr>
                <w:rFonts w:cs="Arial"/>
                <w:b/>
              </w:rPr>
              <w:t xml:space="preserve"> </w:t>
            </w:r>
            <w:proofErr w:type="spellStart"/>
            <w:r w:rsidRPr="00DB0044">
              <w:rPr>
                <w:rFonts w:cs="Arial"/>
                <w:b/>
              </w:rPr>
              <w:t>permitido</w:t>
            </w:r>
            <w:proofErr w:type="spellEnd"/>
          </w:p>
        </w:tc>
        <w:tc>
          <w:tcPr>
            <w:tcW w:w="3725" w:type="dxa"/>
            <w:vAlign w:val="center"/>
          </w:tcPr>
          <w:p w14:paraId="51C92B77" w14:textId="77777777" w:rsidR="00DF36C6" w:rsidRPr="00DB0044" w:rsidRDefault="00000000" w:rsidP="007466D7">
            <w:pPr>
              <w:widowControl w:val="0"/>
              <w:jc w:val="center"/>
              <w:rPr>
                <w:rFonts w:cs="Arial"/>
              </w:rPr>
            </w:pPr>
            <w:proofErr w:type="spellStart"/>
            <w:r w:rsidRPr="00DB0044">
              <w:rPr>
                <w:rFonts w:cs="Arial"/>
                <w:b/>
              </w:rPr>
              <w:t>Redacción</w:t>
            </w:r>
            <w:proofErr w:type="spellEnd"/>
            <w:r w:rsidRPr="00DB0044">
              <w:rPr>
                <w:rFonts w:cs="Arial"/>
                <w:b/>
              </w:rPr>
              <w:t xml:space="preserve"> </w:t>
            </w:r>
            <w:proofErr w:type="spellStart"/>
            <w:r w:rsidRPr="00DB0044">
              <w:rPr>
                <w:rFonts w:cs="Arial"/>
                <w:b/>
              </w:rPr>
              <w:t>adecuada</w:t>
            </w:r>
            <w:proofErr w:type="spellEnd"/>
          </w:p>
        </w:tc>
        <w:tc>
          <w:tcPr>
            <w:tcW w:w="3324" w:type="dxa"/>
            <w:vAlign w:val="center"/>
          </w:tcPr>
          <w:p w14:paraId="2D9542FB" w14:textId="77777777" w:rsidR="00DF36C6" w:rsidRPr="00DB0044" w:rsidRDefault="00000000" w:rsidP="007466D7">
            <w:pPr>
              <w:widowControl w:val="0"/>
              <w:jc w:val="center"/>
              <w:rPr>
                <w:rFonts w:cs="Arial"/>
              </w:rPr>
            </w:pPr>
            <w:proofErr w:type="spellStart"/>
            <w:r w:rsidRPr="00DB0044">
              <w:rPr>
                <w:rFonts w:cs="Arial"/>
                <w:b/>
              </w:rPr>
              <w:t>Redacción</w:t>
            </w:r>
            <w:proofErr w:type="spellEnd"/>
            <w:r w:rsidRPr="00DB0044">
              <w:rPr>
                <w:rFonts w:cs="Arial"/>
                <w:b/>
              </w:rPr>
              <w:t xml:space="preserve"> </w:t>
            </w:r>
            <w:proofErr w:type="spellStart"/>
            <w:r w:rsidRPr="00DB0044">
              <w:rPr>
                <w:rFonts w:cs="Arial"/>
                <w:b/>
              </w:rPr>
              <w:t>que</w:t>
            </w:r>
            <w:proofErr w:type="spellEnd"/>
            <w:r w:rsidRPr="00DB0044">
              <w:rPr>
                <w:rFonts w:cs="Arial"/>
                <w:b/>
              </w:rPr>
              <w:t xml:space="preserve"> </w:t>
            </w:r>
            <w:proofErr w:type="spellStart"/>
            <w:r w:rsidRPr="00DB0044">
              <w:rPr>
                <w:rFonts w:cs="Arial"/>
                <w:b/>
              </w:rPr>
              <w:t>debe</w:t>
            </w:r>
            <w:proofErr w:type="spellEnd"/>
            <w:r w:rsidRPr="00DB0044">
              <w:rPr>
                <w:rFonts w:cs="Arial"/>
                <w:b/>
              </w:rPr>
              <w:t xml:space="preserve"> </w:t>
            </w:r>
            <w:proofErr w:type="spellStart"/>
            <w:r w:rsidRPr="00DB0044">
              <w:rPr>
                <w:rFonts w:cs="Arial"/>
                <w:b/>
              </w:rPr>
              <w:t>evitarse</w:t>
            </w:r>
            <w:proofErr w:type="spellEnd"/>
          </w:p>
        </w:tc>
      </w:tr>
      <w:tr w:rsidR="00DF36C6" w:rsidRPr="000A7C8B" w14:paraId="7D07C583" w14:textId="77777777" w:rsidTr="00DB0044">
        <w:trPr>
          <w:jc w:val="center"/>
        </w:trPr>
        <w:tc>
          <w:tcPr>
            <w:tcW w:w="2835" w:type="dxa"/>
            <w:vAlign w:val="center"/>
          </w:tcPr>
          <w:p w14:paraId="336AEB31" w14:textId="77777777" w:rsidR="00DF36C6" w:rsidRPr="00DB0044" w:rsidRDefault="00000000" w:rsidP="007466D7">
            <w:pPr>
              <w:widowControl w:val="0"/>
              <w:jc w:val="both"/>
              <w:rPr>
                <w:rFonts w:cs="Arial"/>
                <w:lang w:val="es-CO"/>
              </w:rPr>
            </w:pPr>
            <w:r w:rsidRPr="00DB0044">
              <w:rPr>
                <w:rFonts w:cs="Arial"/>
                <w:lang w:val="es-CO"/>
              </w:rPr>
              <w:t>Ausencia de evidencia asociada al contenedor</w:t>
            </w:r>
          </w:p>
        </w:tc>
        <w:tc>
          <w:tcPr>
            <w:tcW w:w="3725" w:type="dxa"/>
            <w:vAlign w:val="center"/>
          </w:tcPr>
          <w:p w14:paraId="27CD73F2" w14:textId="77777777" w:rsidR="00DF36C6" w:rsidRPr="00DB0044" w:rsidRDefault="00000000" w:rsidP="007466D7">
            <w:pPr>
              <w:widowControl w:val="0"/>
              <w:jc w:val="both"/>
              <w:rPr>
                <w:rFonts w:cs="Arial"/>
                <w:lang w:val="es-CO"/>
              </w:rPr>
            </w:pPr>
            <w:r w:rsidRPr="00DB0044">
              <w:rPr>
                <w:rFonts w:cs="Arial"/>
                <w:lang w:val="es-CO"/>
              </w:rPr>
              <w:t>No se identificó soporte suficiente que relacione el registro con el contenedor revisado.</w:t>
            </w:r>
          </w:p>
        </w:tc>
        <w:tc>
          <w:tcPr>
            <w:tcW w:w="3324" w:type="dxa"/>
            <w:vAlign w:val="center"/>
          </w:tcPr>
          <w:p w14:paraId="0FE5C6C9" w14:textId="77777777" w:rsidR="00DF36C6" w:rsidRPr="00DB0044" w:rsidRDefault="00000000" w:rsidP="007466D7">
            <w:pPr>
              <w:widowControl w:val="0"/>
              <w:jc w:val="both"/>
              <w:rPr>
                <w:rFonts w:cs="Arial"/>
                <w:lang w:val="es-CO"/>
              </w:rPr>
            </w:pPr>
            <w:r w:rsidRPr="00DB0044">
              <w:rPr>
                <w:rFonts w:cs="Arial"/>
                <w:lang w:val="es-CO"/>
              </w:rPr>
              <w:t>El contenedor no fue correctamente higienizado.</w:t>
            </w:r>
          </w:p>
        </w:tc>
      </w:tr>
      <w:tr w:rsidR="00DF36C6" w:rsidRPr="00DB0044" w14:paraId="33DA56FF" w14:textId="77777777" w:rsidTr="00DB0044">
        <w:trPr>
          <w:jc w:val="center"/>
        </w:trPr>
        <w:tc>
          <w:tcPr>
            <w:tcW w:w="2835" w:type="dxa"/>
            <w:vAlign w:val="center"/>
          </w:tcPr>
          <w:p w14:paraId="2E313125" w14:textId="77777777" w:rsidR="00DF36C6" w:rsidRPr="00DB0044" w:rsidRDefault="00000000" w:rsidP="007466D7">
            <w:pPr>
              <w:widowControl w:val="0"/>
              <w:jc w:val="both"/>
              <w:rPr>
                <w:rFonts w:cs="Arial"/>
              </w:rPr>
            </w:pPr>
            <w:proofErr w:type="spellStart"/>
            <w:r w:rsidRPr="00DB0044">
              <w:rPr>
                <w:rFonts w:cs="Arial"/>
              </w:rPr>
              <w:t>Inconsistencia</w:t>
            </w:r>
            <w:proofErr w:type="spellEnd"/>
            <w:r w:rsidRPr="00DB0044">
              <w:rPr>
                <w:rFonts w:cs="Arial"/>
              </w:rPr>
              <w:t xml:space="preserve"> documental</w:t>
            </w:r>
          </w:p>
        </w:tc>
        <w:tc>
          <w:tcPr>
            <w:tcW w:w="3725" w:type="dxa"/>
            <w:vAlign w:val="center"/>
          </w:tcPr>
          <w:p w14:paraId="30372A57" w14:textId="77777777" w:rsidR="00DF36C6" w:rsidRPr="00DB0044" w:rsidRDefault="00000000" w:rsidP="007466D7">
            <w:pPr>
              <w:widowControl w:val="0"/>
              <w:jc w:val="both"/>
              <w:rPr>
                <w:rFonts w:cs="Arial"/>
                <w:lang w:val="es-CO"/>
              </w:rPr>
            </w:pPr>
            <w:r w:rsidRPr="00DB0044">
              <w:rPr>
                <w:rFonts w:cs="Arial"/>
                <w:lang w:val="es-CO"/>
              </w:rPr>
              <w:t>Existen diferencias entre la bitácora y el soporte aportado respecto de fecha o identificación del contenedor.</w:t>
            </w:r>
          </w:p>
        </w:tc>
        <w:tc>
          <w:tcPr>
            <w:tcW w:w="3324" w:type="dxa"/>
            <w:vAlign w:val="center"/>
          </w:tcPr>
          <w:p w14:paraId="4F601389" w14:textId="77777777" w:rsidR="00DF36C6" w:rsidRPr="00DB0044" w:rsidRDefault="00000000" w:rsidP="007466D7">
            <w:pPr>
              <w:widowControl w:val="0"/>
              <w:jc w:val="both"/>
              <w:rPr>
                <w:rFonts w:cs="Arial"/>
              </w:rPr>
            </w:pPr>
            <w:r w:rsidRPr="00DB0044">
              <w:rPr>
                <w:rFonts w:cs="Arial"/>
              </w:rPr>
              <w:t xml:space="preserve">El </w:t>
            </w:r>
            <w:proofErr w:type="spellStart"/>
            <w:r w:rsidRPr="00DB0044">
              <w:rPr>
                <w:rFonts w:cs="Arial"/>
              </w:rPr>
              <w:t>proceso</w:t>
            </w:r>
            <w:proofErr w:type="spellEnd"/>
            <w:r w:rsidRPr="00DB0044">
              <w:rPr>
                <w:rFonts w:cs="Arial"/>
              </w:rPr>
              <w:t xml:space="preserve"> es </w:t>
            </w:r>
            <w:proofErr w:type="spellStart"/>
            <w:r w:rsidRPr="00DB0044">
              <w:rPr>
                <w:rFonts w:cs="Arial"/>
              </w:rPr>
              <w:t>inválido</w:t>
            </w:r>
            <w:proofErr w:type="spellEnd"/>
            <w:r w:rsidRPr="00DB0044">
              <w:rPr>
                <w:rFonts w:cs="Arial"/>
              </w:rPr>
              <w:t>.</w:t>
            </w:r>
          </w:p>
        </w:tc>
      </w:tr>
      <w:tr w:rsidR="00DF36C6" w:rsidRPr="000A7C8B" w14:paraId="42E1E0E8" w14:textId="77777777" w:rsidTr="00DB0044">
        <w:trPr>
          <w:jc w:val="center"/>
        </w:trPr>
        <w:tc>
          <w:tcPr>
            <w:tcW w:w="2835" w:type="dxa"/>
            <w:vAlign w:val="center"/>
          </w:tcPr>
          <w:p w14:paraId="5A484183" w14:textId="77777777" w:rsidR="00DF36C6" w:rsidRPr="00DB0044" w:rsidRDefault="00000000" w:rsidP="007466D7">
            <w:pPr>
              <w:widowControl w:val="0"/>
              <w:jc w:val="both"/>
              <w:rPr>
                <w:rFonts w:cs="Arial"/>
              </w:rPr>
            </w:pPr>
            <w:r w:rsidRPr="00DB0044">
              <w:rPr>
                <w:rFonts w:cs="Arial"/>
              </w:rPr>
              <w:t xml:space="preserve">Cierre documental no </w:t>
            </w:r>
            <w:proofErr w:type="spellStart"/>
            <w:r w:rsidRPr="00DB0044">
              <w:rPr>
                <w:rFonts w:cs="Arial"/>
              </w:rPr>
              <w:t>trazable</w:t>
            </w:r>
            <w:proofErr w:type="spellEnd"/>
          </w:p>
        </w:tc>
        <w:tc>
          <w:tcPr>
            <w:tcW w:w="3725" w:type="dxa"/>
            <w:vAlign w:val="center"/>
          </w:tcPr>
          <w:p w14:paraId="2106265E" w14:textId="77777777" w:rsidR="00DF36C6" w:rsidRPr="00DB0044" w:rsidRDefault="00000000" w:rsidP="007466D7">
            <w:pPr>
              <w:widowControl w:val="0"/>
              <w:jc w:val="both"/>
              <w:rPr>
                <w:rFonts w:cs="Arial"/>
                <w:lang w:val="es-CO"/>
              </w:rPr>
            </w:pPr>
            <w:r w:rsidRPr="00DB0044">
              <w:rPr>
                <w:rFonts w:cs="Arial"/>
                <w:lang w:val="es-CO"/>
              </w:rPr>
              <w:t>No se identificó cierre documental suficiente para efectos de trazabilidad administrativa.</w:t>
            </w:r>
          </w:p>
        </w:tc>
        <w:tc>
          <w:tcPr>
            <w:tcW w:w="3324" w:type="dxa"/>
            <w:vAlign w:val="center"/>
          </w:tcPr>
          <w:p w14:paraId="03FAAD95" w14:textId="77777777" w:rsidR="00DF36C6" w:rsidRPr="00DB0044" w:rsidRDefault="00000000" w:rsidP="007466D7">
            <w:pPr>
              <w:widowControl w:val="0"/>
              <w:jc w:val="both"/>
              <w:rPr>
                <w:rFonts w:cs="Arial"/>
                <w:lang w:val="es-CO"/>
              </w:rPr>
            </w:pPr>
            <w:r w:rsidRPr="00DB0044">
              <w:rPr>
                <w:rFonts w:cs="Arial"/>
                <w:lang w:val="es-CO"/>
              </w:rPr>
              <w:t>No se libera el contenedor.</w:t>
            </w:r>
          </w:p>
        </w:tc>
      </w:tr>
      <w:tr w:rsidR="00DF36C6" w:rsidRPr="00DB0044" w14:paraId="1F8147AA" w14:textId="77777777" w:rsidTr="00DB0044">
        <w:trPr>
          <w:jc w:val="center"/>
        </w:trPr>
        <w:tc>
          <w:tcPr>
            <w:tcW w:w="2835" w:type="dxa"/>
            <w:vAlign w:val="center"/>
          </w:tcPr>
          <w:p w14:paraId="6E7DEB76" w14:textId="77777777" w:rsidR="00DF36C6" w:rsidRPr="00DB0044" w:rsidRDefault="00000000" w:rsidP="007466D7">
            <w:pPr>
              <w:widowControl w:val="0"/>
              <w:jc w:val="both"/>
              <w:rPr>
                <w:rFonts w:cs="Arial"/>
              </w:rPr>
            </w:pPr>
            <w:proofErr w:type="spellStart"/>
            <w:r w:rsidRPr="00DB0044">
              <w:rPr>
                <w:rFonts w:cs="Arial"/>
              </w:rPr>
              <w:t>Contingencia</w:t>
            </w:r>
            <w:proofErr w:type="spellEnd"/>
            <w:r w:rsidRPr="00DB0044">
              <w:rPr>
                <w:rFonts w:cs="Arial"/>
              </w:rPr>
              <w:t xml:space="preserve"> no </w:t>
            </w:r>
            <w:proofErr w:type="spellStart"/>
            <w:r w:rsidRPr="00DB0044">
              <w:rPr>
                <w:rFonts w:cs="Arial"/>
              </w:rPr>
              <w:t>documentada</w:t>
            </w:r>
            <w:proofErr w:type="spellEnd"/>
          </w:p>
        </w:tc>
        <w:tc>
          <w:tcPr>
            <w:tcW w:w="3725" w:type="dxa"/>
            <w:vAlign w:val="center"/>
          </w:tcPr>
          <w:p w14:paraId="6FBEFD22" w14:textId="77777777" w:rsidR="00DF36C6" w:rsidRPr="00DB0044" w:rsidRDefault="00000000" w:rsidP="007466D7">
            <w:pPr>
              <w:widowControl w:val="0"/>
              <w:jc w:val="both"/>
              <w:rPr>
                <w:rFonts w:cs="Arial"/>
                <w:lang w:val="es-CO"/>
              </w:rPr>
            </w:pPr>
            <w:r w:rsidRPr="00DB0044">
              <w:rPr>
                <w:rFonts w:cs="Arial"/>
                <w:lang w:val="es-CO"/>
              </w:rPr>
              <w:t>La interrupción reportada no cuenta con soporte documental verificable.</w:t>
            </w:r>
          </w:p>
        </w:tc>
        <w:tc>
          <w:tcPr>
            <w:tcW w:w="3324" w:type="dxa"/>
            <w:vAlign w:val="center"/>
          </w:tcPr>
          <w:p w14:paraId="0D01F784" w14:textId="77777777" w:rsidR="00DF36C6" w:rsidRPr="00DB0044" w:rsidRDefault="00000000" w:rsidP="007466D7">
            <w:pPr>
              <w:widowControl w:val="0"/>
              <w:jc w:val="both"/>
              <w:rPr>
                <w:rFonts w:cs="Arial"/>
              </w:rPr>
            </w:pPr>
            <w:r w:rsidRPr="00DB0044">
              <w:rPr>
                <w:rFonts w:cs="Arial"/>
              </w:rPr>
              <w:t xml:space="preserve">El </w:t>
            </w:r>
            <w:proofErr w:type="spellStart"/>
            <w:r w:rsidRPr="00DB0044">
              <w:rPr>
                <w:rFonts w:cs="Arial"/>
              </w:rPr>
              <w:t>tratamiento</w:t>
            </w:r>
            <w:proofErr w:type="spellEnd"/>
            <w:r w:rsidRPr="00DB0044">
              <w:rPr>
                <w:rFonts w:cs="Arial"/>
              </w:rPr>
              <w:t xml:space="preserve"> </w:t>
            </w:r>
            <w:proofErr w:type="spellStart"/>
            <w:r w:rsidRPr="00DB0044">
              <w:rPr>
                <w:rFonts w:cs="Arial"/>
              </w:rPr>
              <w:t>falló</w:t>
            </w:r>
            <w:proofErr w:type="spellEnd"/>
            <w:r w:rsidRPr="00DB0044">
              <w:rPr>
                <w:rFonts w:cs="Arial"/>
              </w:rPr>
              <w:t xml:space="preserve"> </w:t>
            </w:r>
            <w:proofErr w:type="spellStart"/>
            <w:r w:rsidRPr="00DB0044">
              <w:rPr>
                <w:rFonts w:cs="Arial"/>
              </w:rPr>
              <w:t>técnicamente</w:t>
            </w:r>
            <w:proofErr w:type="spellEnd"/>
            <w:r w:rsidRPr="00DB0044">
              <w:rPr>
                <w:rFonts w:cs="Arial"/>
              </w:rPr>
              <w:t>.</w:t>
            </w:r>
          </w:p>
        </w:tc>
      </w:tr>
    </w:tbl>
    <w:p w14:paraId="08950587" w14:textId="77777777" w:rsidR="00DB0044" w:rsidRPr="00DB0044" w:rsidRDefault="00DB0044" w:rsidP="007466D7">
      <w:pPr>
        <w:pStyle w:val="Ttulo1"/>
        <w:keepNext w:val="0"/>
        <w:keepLines w:val="0"/>
        <w:widowControl w:val="0"/>
        <w:jc w:val="both"/>
        <w:rPr>
          <w:rFonts w:ascii="Arial" w:eastAsia="Arial" w:hAnsi="Arial" w:cs="Arial"/>
          <w:b w:val="0"/>
          <w:bCs w:val="0"/>
          <w:color w:val="auto"/>
          <w:sz w:val="22"/>
          <w:szCs w:val="22"/>
        </w:rPr>
      </w:pPr>
    </w:p>
    <w:p w14:paraId="3DA70DE3" w14:textId="4D81D353" w:rsidR="00DF36C6" w:rsidRPr="00DB0044" w:rsidRDefault="00000000" w:rsidP="007466D7">
      <w:pPr>
        <w:pStyle w:val="Ttulo1"/>
        <w:keepNext w:val="0"/>
        <w:keepLines w:val="0"/>
        <w:widowControl w:val="0"/>
        <w:rPr>
          <w:rFonts w:ascii="Arial" w:hAnsi="Arial" w:cs="Arial"/>
          <w:color w:val="auto"/>
          <w:sz w:val="22"/>
          <w:szCs w:val="22"/>
        </w:rPr>
      </w:pPr>
      <w:r w:rsidRPr="00DB0044">
        <w:rPr>
          <w:rFonts w:ascii="Arial" w:eastAsia="Arial" w:hAnsi="Arial" w:cs="Arial"/>
          <w:color w:val="auto"/>
          <w:sz w:val="22"/>
          <w:szCs w:val="22"/>
        </w:rPr>
        <w:t xml:space="preserve">10. </w:t>
      </w:r>
      <w:proofErr w:type="spellStart"/>
      <w:r w:rsidRPr="00DB0044">
        <w:rPr>
          <w:rFonts w:ascii="Arial" w:eastAsia="Arial" w:hAnsi="Arial" w:cs="Arial"/>
          <w:color w:val="auto"/>
          <w:sz w:val="22"/>
          <w:szCs w:val="22"/>
        </w:rPr>
        <w:t>Conclusiones</w:t>
      </w:r>
      <w:proofErr w:type="spellEnd"/>
      <w:r w:rsidRPr="00DB0044">
        <w:rPr>
          <w:rFonts w:ascii="Arial" w:eastAsia="Arial" w:hAnsi="Arial" w:cs="Arial"/>
          <w:color w:val="auto"/>
          <w:sz w:val="22"/>
          <w:szCs w:val="22"/>
        </w:rPr>
        <w:t xml:space="preserve"> </w:t>
      </w:r>
      <w:proofErr w:type="spellStart"/>
      <w:r w:rsidRPr="00DB0044">
        <w:rPr>
          <w:rFonts w:ascii="Arial" w:eastAsia="Arial" w:hAnsi="Arial" w:cs="Arial"/>
          <w:color w:val="auto"/>
          <w:sz w:val="22"/>
          <w:szCs w:val="22"/>
        </w:rPr>
        <w:t>administrativas</w:t>
      </w:r>
      <w:proofErr w:type="spellEnd"/>
    </w:p>
    <w:p w14:paraId="6512CA1A" w14:textId="77777777" w:rsidR="00DB0044" w:rsidRPr="00DB0044" w:rsidRDefault="00DB0044" w:rsidP="007466D7">
      <w:pPr>
        <w:widowControl w:val="0"/>
        <w:jc w:val="both"/>
        <w:rPr>
          <w:rFonts w:cs="Arial"/>
          <w:lang w:val="es-CO"/>
        </w:rPr>
      </w:pPr>
    </w:p>
    <w:p w14:paraId="4CCCA218" w14:textId="127D1EC9" w:rsidR="00DF36C6" w:rsidRDefault="00000000" w:rsidP="007466D7">
      <w:pPr>
        <w:widowControl w:val="0"/>
        <w:jc w:val="both"/>
        <w:rPr>
          <w:rFonts w:cs="Arial"/>
          <w:lang w:val="es-CO"/>
        </w:rPr>
      </w:pPr>
      <w:r w:rsidRPr="00DB0044">
        <w:rPr>
          <w:rFonts w:cs="Arial"/>
          <w:lang w:val="es-CO"/>
        </w:rPr>
        <w:t>Las conclusiones de la actuación deben referirse al grado de verificabilidad administrativa de la evidencia revisada. Deben explicar la relación entre evidencia, hallazgo y conclusión, y deben evitar cualquier frase que sugiera certificación, validación, homologación, aprobación, rechazo o liberación del contenedor.</w:t>
      </w:r>
    </w:p>
    <w:p w14:paraId="427B8669" w14:textId="77777777" w:rsidR="0056308E" w:rsidRDefault="0056308E" w:rsidP="007466D7">
      <w:pPr>
        <w:widowControl w:val="0"/>
        <w:jc w:val="both"/>
        <w:rPr>
          <w:rFonts w:cs="Arial"/>
          <w:lang w:val="es-CO"/>
        </w:rPr>
      </w:pPr>
    </w:p>
    <w:p w14:paraId="0E94CF24" w14:textId="4860B7C9" w:rsidR="0056308E" w:rsidRPr="0056308E" w:rsidRDefault="0056308E" w:rsidP="007466D7">
      <w:pPr>
        <w:widowControl w:val="0"/>
        <w:jc w:val="both"/>
        <w:rPr>
          <w:rFonts w:cs="Arial"/>
          <w:lang w:val="es-CO"/>
        </w:rPr>
      </w:pPr>
      <w:r w:rsidRPr="0056308E">
        <w:rPr>
          <w:rFonts w:cs="Arial"/>
          <w:lang w:val="es-CO"/>
        </w:rPr>
        <w:t>Las siguientes fórmulas constituyen modelos orientadores de redacción y deberán ajustarse al alcance concreto de la actuación, a la evidencia disponible y a los límites previstos en la resolución.</w:t>
      </w:r>
    </w:p>
    <w:p w14:paraId="60215FE5" w14:textId="77777777" w:rsidR="00DB0044" w:rsidRPr="00DB0044" w:rsidRDefault="00DB0044" w:rsidP="007466D7">
      <w:pPr>
        <w:widowControl w:val="0"/>
        <w:jc w:val="both"/>
        <w:rPr>
          <w:rFonts w:cs="Arial"/>
          <w:lang w:val="es-CO"/>
        </w:rPr>
      </w:pPr>
    </w:p>
    <w:p w14:paraId="74B84068" w14:textId="77777777" w:rsidR="0056308E" w:rsidRDefault="00000000" w:rsidP="007466D7">
      <w:pPr>
        <w:widowControl w:val="0"/>
        <w:jc w:val="both"/>
        <w:rPr>
          <w:rFonts w:cs="Arial"/>
          <w:lang w:val="es-CO"/>
        </w:rPr>
      </w:pPr>
      <w:r w:rsidRPr="00DB0044">
        <w:rPr>
          <w:rFonts w:cs="Arial"/>
          <w:lang w:val="es-CO"/>
        </w:rPr>
        <w:t>Modelo de conclusión con evidencia suficiente:</w:t>
      </w:r>
    </w:p>
    <w:p w14:paraId="61734A62" w14:textId="6B249014" w:rsidR="00DF36C6" w:rsidRPr="00DB0044" w:rsidRDefault="00000000" w:rsidP="007466D7">
      <w:pPr>
        <w:widowControl w:val="0"/>
        <w:jc w:val="both"/>
        <w:rPr>
          <w:rFonts w:cs="Arial"/>
          <w:lang w:val="es-CO"/>
        </w:rPr>
      </w:pPr>
      <w:r w:rsidRPr="00DB0044">
        <w:rPr>
          <w:rFonts w:cs="Arial"/>
          <w:lang w:val="es-CO"/>
        </w:rPr>
        <w:t>“Con base en la evidencia revisada, se identifican soportes suficientes para reconstruir administrativamente el proceso documentado respecto del contenedor [XX], en términos de identificación, fecha, lugar, responsable, secuencia básica y cierre documental. Esta conclusión se emite únicamente para efectos de inspección, vigilancia y control, y no certifica ni valida la eficacia del tratamiento aplicado”.</w:t>
      </w:r>
    </w:p>
    <w:p w14:paraId="79DDBB18" w14:textId="77777777" w:rsidR="00DB0044" w:rsidRPr="00DB0044" w:rsidRDefault="00DB0044" w:rsidP="007466D7">
      <w:pPr>
        <w:widowControl w:val="0"/>
        <w:jc w:val="both"/>
        <w:rPr>
          <w:rFonts w:cs="Arial"/>
          <w:lang w:val="es-CO"/>
        </w:rPr>
      </w:pPr>
    </w:p>
    <w:p w14:paraId="016943D8" w14:textId="77777777" w:rsidR="0056308E" w:rsidRDefault="00000000" w:rsidP="007466D7">
      <w:pPr>
        <w:widowControl w:val="0"/>
        <w:jc w:val="both"/>
        <w:rPr>
          <w:rFonts w:cs="Arial"/>
          <w:lang w:val="es-CO"/>
        </w:rPr>
      </w:pPr>
      <w:r w:rsidRPr="00DB0044">
        <w:rPr>
          <w:rFonts w:cs="Arial"/>
          <w:lang w:val="es-CO"/>
        </w:rPr>
        <w:t>Modelo de conclusión con evidencia insuficiente:</w:t>
      </w:r>
    </w:p>
    <w:p w14:paraId="1EF97F60" w14:textId="1A7B25E3" w:rsidR="00DF36C6" w:rsidRPr="00DB0044" w:rsidRDefault="00000000" w:rsidP="007466D7">
      <w:pPr>
        <w:widowControl w:val="0"/>
        <w:jc w:val="both"/>
        <w:rPr>
          <w:rFonts w:cs="Arial"/>
          <w:lang w:val="es-CO"/>
        </w:rPr>
      </w:pPr>
      <w:r w:rsidRPr="00DB0044">
        <w:rPr>
          <w:rFonts w:cs="Arial"/>
          <w:lang w:val="es-CO"/>
        </w:rPr>
        <w:t>“Con base en la evidencia revisada, no fue posible reconstruir administrativamente el proceso documentado respecto del contenedor [XX], debido a la ausencia o insuficiencia de soportes relacionados con [XX]. Esta conclusión se limita a la verificabilidad administrativa de la evidencia disponible”.</w:t>
      </w:r>
    </w:p>
    <w:p w14:paraId="189F7BBA" w14:textId="77777777" w:rsidR="00DB0044" w:rsidRPr="00DB0044" w:rsidRDefault="00DB0044" w:rsidP="007466D7">
      <w:pPr>
        <w:widowControl w:val="0"/>
        <w:jc w:val="both"/>
        <w:rPr>
          <w:rFonts w:cs="Arial"/>
          <w:lang w:val="es-CO"/>
        </w:rPr>
      </w:pPr>
    </w:p>
    <w:p w14:paraId="64983D52" w14:textId="77777777" w:rsidR="00DF36C6" w:rsidRPr="00DB0044" w:rsidRDefault="00000000" w:rsidP="007466D7">
      <w:pPr>
        <w:pStyle w:val="Ttulo1"/>
        <w:keepNext w:val="0"/>
        <w:keepLines w:val="0"/>
        <w:widowControl w:val="0"/>
        <w:rPr>
          <w:rFonts w:ascii="Arial" w:hAnsi="Arial" w:cs="Arial"/>
          <w:color w:val="auto"/>
          <w:sz w:val="22"/>
          <w:szCs w:val="22"/>
          <w:lang w:val="es-CO"/>
        </w:rPr>
      </w:pPr>
      <w:r w:rsidRPr="00DB0044">
        <w:rPr>
          <w:rFonts w:ascii="Arial" w:eastAsia="Arial" w:hAnsi="Arial" w:cs="Arial"/>
          <w:color w:val="auto"/>
          <w:sz w:val="22"/>
          <w:szCs w:val="22"/>
          <w:lang w:val="es-CO"/>
        </w:rPr>
        <w:t>11. Herramienta operativa IVC PHLC</w:t>
      </w:r>
    </w:p>
    <w:p w14:paraId="4A9B60C3" w14:textId="77777777" w:rsidR="00DB0044" w:rsidRPr="00DB0044" w:rsidRDefault="00DB0044" w:rsidP="007466D7">
      <w:pPr>
        <w:widowControl w:val="0"/>
        <w:jc w:val="both"/>
        <w:rPr>
          <w:rFonts w:cs="Arial"/>
          <w:lang w:val="es-CO"/>
        </w:rPr>
      </w:pPr>
    </w:p>
    <w:p w14:paraId="3F755C83" w14:textId="4A5F71BE" w:rsidR="00DF36C6" w:rsidRPr="00DB0044" w:rsidRDefault="00000000" w:rsidP="007466D7">
      <w:pPr>
        <w:widowControl w:val="0"/>
        <w:jc w:val="both"/>
        <w:rPr>
          <w:rFonts w:cs="Arial"/>
          <w:lang w:val="es-CO"/>
        </w:rPr>
      </w:pPr>
      <w:r w:rsidRPr="00DB0044">
        <w:rPr>
          <w:rFonts w:cs="Arial"/>
          <w:lang w:val="es-CO"/>
        </w:rPr>
        <w:t>La herramienta operativa de verificación IVC PHLC constituye un instrumento metodológico de apoyo para documentar de manera estructurada las actuaciones de inspección, vigilancia y control relacionadas con los procesos comprendidos en la resolución.</w:t>
      </w:r>
    </w:p>
    <w:p w14:paraId="5B0E4534" w14:textId="77777777" w:rsidR="00DB0044" w:rsidRPr="00DB0044" w:rsidRDefault="00DB0044" w:rsidP="007466D7">
      <w:pPr>
        <w:widowControl w:val="0"/>
        <w:jc w:val="both"/>
        <w:rPr>
          <w:rFonts w:cs="Arial"/>
          <w:lang w:val="es-CO"/>
        </w:rPr>
      </w:pPr>
    </w:p>
    <w:p w14:paraId="146AF2BF" w14:textId="395A5F7E" w:rsidR="00DF36C6" w:rsidRPr="00DB0044" w:rsidRDefault="00000000" w:rsidP="007466D7">
      <w:pPr>
        <w:widowControl w:val="0"/>
        <w:jc w:val="both"/>
        <w:rPr>
          <w:rFonts w:cs="Arial"/>
          <w:lang w:val="es-CO"/>
        </w:rPr>
      </w:pPr>
      <w:r w:rsidRPr="00DB0044">
        <w:rPr>
          <w:rFonts w:cs="Arial"/>
          <w:lang w:val="es-CO"/>
        </w:rPr>
        <w:t>La herramienta tendrá carácter instrumental y subordinado a la resolución y al presente anexo. No crea obligaciones autónomas, no amplía el ámbito de aplicación, no modifica sujetos responsables, no introduce parámetros de eficacia, no establece requisitos sanitarios, fitosanitarios, ambientales, microbiológicos o de inocuidad, no genera resultados automáticos de aprobación o rechazo y no podrá utilizarse para validar, certificar, homologar, recomendar, excluir o preferir tecnologías, métodos, sustancias, equipos, proveedores o soluciones específicas.</w:t>
      </w:r>
    </w:p>
    <w:p w14:paraId="4C3FC1AA" w14:textId="77777777" w:rsidR="00DB0044" w:rsidRPr="00DB0044" w:rsidRDefault="00DB0044" w:rsidP="007466D7">
      <w:pPr>
        <w:widowControl w:val="0"/>
        <w:jc w:val="both"/>
        <w:rPr>
          <w:rFonts w:cs="Arial"/>
          <w:lang w:val="es-CO"/>
        </w:rPr>
      </w:pPr>
    </w:p>
    <w:p w14:paraId="65EF451A" w14:textId="4B22BFBE" w:rsidR="00DF36C6" w:rsidRPr="00DB0044" w:rsidRDefault="00E21625" w:rsidP="007466D7">
      <w:pPr>
        <w:widowControl w:val="0"/>
        <w:jc w:val="both"/>
        <w:rPr>
          <w:rFonts w:cs="Arial"/>
          <w:lang w:val="es-CO"/>
        </w:rPr>
      </w:pPr>
      <w:r w:rsidRPr="00E21625">
        <w:rPr>
          <w:rFonts w:cs="Arial"/>
          <w:lang w:val="es-CO"/>
        </w:rPr>
        <w:t>Las alertas, categorías orientadoras o marcaciones internas de la herramienta, si se llegaren a utilizar</w:t>
      </w:r>
      <w:r w:rsidRPr="00DB0044">
        <w:rPr>
          <w:rFonts w:cs="Arial"/>
          <w:lang w:val="es-CO"/>
        </w:rPr>
        <w:t xml:space="preserve">, tendrán carácter orientador, preliminar e interno, y no producirán efectos automáticos. </w:t>
      </w:r>
      <w:r w:rsidR="00B172E6" w:rsidRPr="00B172E6">
        <w:rPr>
          <w:rFonts w:cs="Arial"/>
          <w:lang w:val="es-CO"/>
        </w:rPr>
        <w:t>No deberán emplearse expresiones como ‘aprobado’, ‘rechazado’, ‘cumple/no cumple la higienización’, ‘resultado automático’, ‘recomendación obligatoria’, ‘liberación’ u otras equivalentes que sugieran certificación, validación técnica, aprobación del tratamiento o decisión automática.</w:t>
      </w:r>
    </w:p>
    <w:p w14:paraId="7CD6649F" w14:textId="77777777" w:rsidR="00DB0044" w:rsidRPr="00DB0044" w:rsidRDefault="00DB0044" w:rsidP="007466D7">
      <w:pPr>
        <w:widowControl w:val="0"/>
        <w:jc w:val="both"/>
        <w:rPr>
          <w:rFonts w:cs="Arial"/>
          <w:lang w:val="es-CO"/>
        </w:rPr>
      </w:pPr>
    </w:p>
    <w:p w14:paraId="273AEDBC" w14:textId="0A7308E0" w:rsidR="00DF36C6" w:rsidRPr="00E21625" w:rsidRDefault="00000000" w:rsidP="007466D7">
      <w:pPr>
        <w:pStyle w:val="Ttulo1"/>
        <w:keepNext w:val="0"/>
        <w:keepLines w:val="0"/>
        <w:widowControl w:val="0"/>
        <w:rPr>
          <w:rFonts w:ascii="Arial" w:hAnsi="Arial" w:cs="Arial"/>
          <w:color w:val="auto"/>
          <w:sz w:val="22"/>
          <w:szCs w:val="22"/>
          <w:lang w:val="es-CO"/>
        </w:rPr>
      </w:pPr>
      <w:r w:rsidRPr="00DB0044">
        <w:rPr>
          <w:rFonts w:ascii="Arial" w:eastAsia="Arial" w:hAnsi="Arial" w:cs="Arial"/>
          <w:color w:val="auto"/>
          <w:sz w:val="22"/>
          <w:szCs w:val="22"/>
          <w:lang w:val="es-CO"/>
        </w:rPr>
        <w:t xml:space="preserve">12. </w:t>
      </w:r>
      <w:r w:rsidR="00E21625" w:rsidRPr="00E21625">
        <w:rPr>
          <w:rFonts w:ascii="Arial" w:eastAsia="Arial" w:hAnsi="Arial" w:cs="Arial"/>
          <w:color w:val="auto"/>
          <w:sz w:val="22"/>
          <w:szCs w:val="22"/>
          <w:lang w:val="es-CO"/>
        </w:rPr>
        <w:t>Coordinación interadministrativa y remisión de información</w:t>
      </w:r>
    </w:p>
    <w:p w14:paraId="21C8F115" w14:textId="77777777" w:rsidR="00DB0044" w:rsidRPr="00DB0044" w:rsidRDefault="00DB0044" w:rsidP="007466D7">
      <w:pPr>
        <w:widowControl w:val="0"/>
        <w:jc w:val="both"/>
        <w:rPr>
          <w:rFonts w:cs="Arial"/>
          <w:lang w:val="es-CO"/>
        </w:rPr>
      </w:pPr>
    </w:p>
    <w:p w14:paraId="1ABEFF5E" w14:textId="0DD135F5" w:rsidR="00DF36C6" w:rsidRPr="00E21625" w:rsidRDefault="00E21625" w:rsidP="007466D7">
      <w:pPr>
        <w:widowControl w:val="0"/>
        <w:jc w:val="both"/>
        <w:rPr>
          <w:rFonts w:cs="Arial"/>
          <w:lang w:val="es-CO"/>
        </w:rPr>
      </w:pPr>
      <w:r w:rsidRPr="00E21625">
        <w:rPr>
          <w:rFonts w:cs="Arial"/>
          <w:lang w:val="es-CO"/>
        </w:rPr>
        <w:t>Cuando en la actuación se identifiquen hechos, soportes, circunstancias o información que puedan corresponder al ámbito de competencia de otra autoridad administrativa, la Superintendencia podrá comunicar o remitir la información conforme al marco jurídico aplicable, sin prejuzgar, calificar técnicamente, validar, certificar o emitir pronunciamiento de fondo sobre materias ajenas a su competencia.</w:t>
      </w:r>
    </w:p>
    <w:p w14:paraId="598AAE06" w14:textId="77777777" w:rsidR="00DB0044" w:rsidRPr="00DB0044" w:rsidRDefault="00DB0044" w:rsidP="007466D7">
      <w:pPr>
        <w:widowControl w:val="0"/>
        <w:jc w:val="both"/>
        <w:rPr>
          <w:rFonts w:cs="Arial"/>
          <w:lang w:val="es-CO"/>
        </w:rPr>
      </w:pPr>
    </w:p>
    <w:p w14:paraId="2C578A39" w14:textId="77777777" w:rsidR="00DF36C6" w:rsidRPr="00DB0044" w:rsidRDefault="00000000" w:rsidP="007466D7">
      <w:pPr>
        <w:pStyle w:val="Ttulo1"/>
        <w:keepNext w:val="0"/>
        <w:keepLines w:val="0"/>
        <w:widowControl w:val="0"/>
        <w:rPr>
          <w:rFonts w:ascii="Arial" w:hAnsi="Arial" w:cs="Arial"/>
          <w:color w:val="auto"/>
          <w:sz w:val="22"/>
          <w:szCs w:val="22"/>
          <w:lang w:val="es-CO"/>
        </w:rPr>
      </w:pPr>
      <w:r w:rsidRPr="00DB0044">
        <w:rPr>
          <w:rFonts w:ascii="Arial" w:eastAsia="Arial" w:hAnsi="Arial" w:cs="Arial"/>
          <w:color w:val="auto"/>
          <w:sz w:val="22"/>
          <w:szCs w:val="22"/>
          <w:lang w:val="es-CO"/>
        </w:rPr>
        <w:t>13. Implementación, seguimiento y mejora</w:t>
      </w:r>
    </w:p>
    <w:p w14:paraId="30E2B63E" w14:textId="77777777" w:rsidR="00E21625" w:rsidRDefault="00E21625" w:rsidP="007466D7">
      <w:pPr>
        <w:widowControl w:val="0"/>
        <w:jc w:val="both"/>
        <w:rPr>
          <w:rFonts w:cs="Arial"/>
          <w:lang w:val="es-CO"/>
        </w:rPr>
      </w:pPr>
    </w:p>
    <w:p w14:paraId="355E74B7" w14:textId="69B070C2" w:rsidR="00DF36C6" w:rsidRPr="00DB0044" w:rsidRDefault="00000000" w:rsidP="007466D7">
      <w:pPr>
        <w:widowControl w:val="0"/>
        <w:jc w:val="both"/>
        <w:rPr>
          <w:rFonts w:cs="Arial"/>
          <w:lang w:val="es-CO"/>
        </w:rPr>
      </w:pPr>
      <w:r w:rsidRPr="00DB0044">
        <w:rPr>
          <w:rFonts w:cs="Arial"/>
          <w:lang w:val="es-CO"/>
        </w:rPr>
        <w:t>La aplicación del presente anexo deberá articularse con la implementación gradual definida por la Superintendencia, incluyendo socialización, línea base, verificación preventiva, exigibilidad operativa y seguimiento.</w:t>
      </w:r>
    </w:p>
    <w:p w14:paraId="56D942CE" w14:textId="77777777" w:rsidR="00DB0044" w:rsidRPr="00DB0044" w:rsidRDefault="00DB0044" w:rsidP="007466D7">
      <w:pPr>
        <w:widowControl w:val="0"/>
        <w:jc w:val="both"/>
        <w:rPr>
          <w:rFonts w:cs="Arial"/>
          <w:lang w:val="es-CO"/>
        </w:rPr>
      </w:pPr>
    </w:p>
    <w:p w14:paraId="03B05951" w14:textId="77777777" w:rsidR="00DF36C6" w:rsidRPr="00DB0044" w:rsidRDefault="00000000" w:rsidP="007466D7">
      <w:pPr>
        <w:widowControl w:val="0"/>
        <w:jc w:val="both"/>
        <w:rPr>
          <w:rFonts w:cs="Arial"/>
          <w:lang w:val="es-CO"/>
        </w:rPr>
      </w:pPr>
      <w:r w:rsidRPr="00DB0044">
        <w:rPr>
          <w:rFonts w:cs="Arial"/>
          <w:lang w:val="es-CO"/>
        </w:rPr>
        <w:t>El seguimiento permitirá identificar patrones, brechas recurrentes, limitaciones de evidencia, consistencia de la secuencia de aplicación, cargas administrativas reales y necesidades de ajuste metodológico, sin convertir la herramienta en autorización, trámite, certificación o reglamento técnico.</w:t>
      </w:r>
    </w:p>
    <w:p w14:paraId="5471C458" w14:textId="77777777" w:rsidR="00DB0044" w:rsidRPr="00DB0044" w:rsidRDefault="00DB0044" w:rsidP="007466D7">
      <w:pPr>
        <w:widowControl w:val="0"/>
        <w:jc w:val="both"/>
        <w:rPr>
          <w:rFonts w:cs="Arial"/>
          <w:lang w:val="es-CO"/>
        </w:rPr>
      </w:pPr>
    </w:p>
    <w:p w14:paraId="1F5F1AD2" w14:textId="77777777" w:rsidR="00DF36C6" w:rsidRPr="00DB0044" w:rsidRDefault="00000000" w:rsidP="007466D7">
      <w:pPr>
        <w:pStyle w:val="Ttulo1"/>
        <w:keepNext w:val="0"/>
        <w:keepLines w:val="0"/>
        <w:widowControl w:val="0"/>
        <w:rPr>
          <w:rFonts w:ascii="Arial" w:hAnsi="Arial" w:cs="Arial"/>
          <w:color w:val="auto"/>
          <w:sz w:val="22"/>
          <w:szCs w:val="22"/>
          <w:lang w:val="es-CO"/>
        </w:rPr>
      </w:pPr>
      <w:r w:rsidRPr="00DB0044">
        <w:rPr>
          <w:rFonts w:ascii="Arial" w:eastAsia="Arial" w:hAnsi="Arial" w:cs="Arial"/>
          <w:color w:val="auto"/>
          <w:sz w:val="22"/>
          <w:szCs w:val="22"/>
          <w:lang w:val="es-CO"/>
        </w:rPr>
        <w:t>14. Regla de cierre interpretativo</w:t>
      </w:r>
    </w:p>
    <w:p w14:paraId="45C333A4" w14:textId="77777777" w:rsidR="00E21625" w:rsidRDefault="00E21625" w:rsidP="007466D7">
      <w:pPr>
        <w:widowControl w:val="0"/>
        <w:jc w:val="both"/>
        <w:rPr>
          <w:rFonts w:cs="Arial"/>
          <w:lang w:val="es-CO"/>
        </w:rPr>
      </w:pPr>
    </w:p>
    <w:p w14:paraId="1E94AC14" w14:textId="38A6374C" w:rsidR="00DF36C6" w:rsidRPr="00E21625" w:rsidRDefault="00000000" w:rsidP="007466D7">
      <w:pPr>
        <w:widowControl w:val="0"/>
        <w:jc w:val="both"/>
        <w:rPr>
          <w:rFonts w:cs="Arial"/>
          <w:lang w:val="es-CO"/>
        </w:rPr>
      </w:pPr>
      <w:r w:rsidRPr="00DB0044">
        <w:rPr>
          <w:rFonts w:cs="Arial"/>
          <w:lang w:val="es-CO"/>
        </w:rPr>
        <w:t xml:space="preserve">En caso de duda, el presente anexo deberá interpretarse de manera restrictiva y subordinada a la resolución, privilegiando la verificabilidad administrativa, la trazabilidad documental, la neutralidad tecnológica, la proporcionalidad y la no sustitución de competencias de otras autoridades. </w:t>
      </w:r>
      <w:r w:rsidR="00E21625" w:rsidRPr="00E21625">
        <w:rPr>
          <w:rFonts w:cs="Arial"/>
          <w:lang w:val="es-CO"/>
        </w:rPr>
        <w:t>La Superintendencia verifica evidencia documental y trazabilidad administrativa; no certifica resultados, no valida tratamientos, no libera contenedores, no crea trámite y no configura reglamento técnico.</w:t>
      </w:r>
    </w:p>
    <w:p w14:paraId="1B92C00C" w14:textId="77777777" w:rsidR="00DB0044" w:rsidRPr="00DB0044" w:rsidRDefault="00DB0044" w:rsidP="007466D7">
      <w:pPr>
        <w:widowControl w:val="0"/>
        <w:jc w:val="both"/>
        <w:rPr>
          <w:rFonts w:cs="Arial"/>
          <w:lang w:val="es-CO"/>
        </w:rPr>
      </w:pPr>
    </w:p>
    <w:sectPr w:rsidR="00DB0044" w:rsidRPr="00DB0044">
      <w:headerReference w:type="default" r:id="rId8"/>
      <w:footerReference w:type="default" r:id="rId9"/>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68BF7" w14:textId="77777777" w:rsidR="00C57D31" w:rsidRDefault="00C57D31">
      <w:r>
        <w:separator/>
      </w:r>
    </w:p>
  </w:endnote>
  <w:endnote w:type="continuationSeparator" w:id="0">
    <w:p w14:paraId="13F0DB68" w14:textId="77777777" w:rsidR="00C57D31" w:rsidRDefault="00C5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5D46" w14:textId="77777777" w:rsidR="000A7C8B" w:rsidRDefault="000A7C8B">
    <w:pPr>
      <w:pStyle w:val="Piedepgina"/>
      <w:rPr>
        <w:lang w:val="es-CO"/>
      </w:rPr>
    </w:pPr>
  </w:p>
  <w:p w14:paraId="1761F4F9" w14:textId="30E31305" w:rsidR="000A7C8B" w:rsidRPr="000A7C8B" w:rsidRDefault="000A7C8B" w:rsidP="000A7C8B">
    <w:pPr>
      <w:pStyle w:val="Piedepgina"/>
      <w:jc w:val="center"/>
      <w:rPr>
        <w:lang w:val="es-CO"/>
      </w:rPr>
    </w:pPr>
    <w:r>
      <w:rPr>
        <w:lang w:val="es-CO"/>
      </w:rPr>
      <w:t xml:space="preserve">Hoja </w:t>
    </w:r>
    <w:r w:rsidRPr="000A7C8B">
      <w:rPr>
        <w:lang w:val="es-CO"/>
      </w:rPr>
      <w:fldChar w:fldCharType="begin"/>
    </w:r>
    <w:r w:rsidRPr="000A7C8B">
      <w:rPr>
        <w:lang w:val="es-CO"/>
      </w:rPr>
      <w:instrText>PAGE   \* MERGEFORMAT</w:instrText>
    </w:r>
    <w:r w:rsidRPr="000A7C8B">
      <w:rPr>
        <w:lang w:val="es-CO"/>
      </w:rPr>
      <w:fldChar w:fldCharType="separate"/>
    </w:r>
    <w:r w:rsidRPr="000A7C8B">
      <w:rPr>
        <w:lang w:val="es-MX"/>
      </w:rPr>
      <w:t>1</w:t>
    </w:r>
    <w:r w:rsidRPr="000A7C8B">
      <w:rPr>
        <w:lang w:val="es-CO"/>
      </w:rPr>
      <w:fldChar w:fldCharType="end"/>
    </w:r>
    <w:r>
      <w:rPr>
        <w:lang w:val="es-CO"/>
      </w:rPr>
      <w:t xml:space="preserve"> de </w:t>
    </w:r>
    <w:r>
      <w:rPr>
        <w:lang w:val="es-CO"/>
      </w:rPr>
      <w:fldChar w:fldCharType="begin"/>
    </w:r>
    <w:r>
      <w:rPr>
        <w:lang w:val="es-CO"/>
      </w:rPr>
      <w:instrText xml:space="preserve"> NUMPAGES   \* MERGEFORMAT </w:instrText>
    </w:r>
    <w:r>
      <w:rPr>
        <w:lang w:val="es-CO"/>
      </w:rPr>
      <w:fldChar w:fldCharType="separate"/>
    </w:r>
    <w:r>
      <w:rPr>
        <w:noProof/>
        <w:lang w:val="es-CO"/>
      </w:rPr>
      <w:t>6</w:t>
    </w:r>
    <w:r>
      <w:rPr>
        <w:lang w:val="es-C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614C3" w14:textId="77777777" w:rsidR="00C57D31" w:rsidRDefault="00C57D31">
      <w:r>
        <w:separator/>
      </w:r>
    </w:p>
  </w:footnote>
  <w:footnote w:type="continuationSeparator" w:id="0">
    <w:p w14:paraId="7777569C" w14:textId="77777777" w:rsidR="00C57D31" w:rsidRDefault="00C57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17C5" w14:textId="6A028598" w:rsidR="000A7C8B" w:rsidRDefault="000A7C8B" w:rsidP="000A7C8B">
    <w:pPr>
      <w:pStyle w:val="Encabezado"/>
      <w:jc w:val="center"/>
      <w:rPr>
        <w:lang w:val="es-CO"/>
      </w:rPr>
    </w:pPr>
    <w:r w:rsidRPr="00DB0044">
      <w:rPr>
        <w:rFonts w:cs="Arial"/>
        <w:b/>
        <w:lang w:val="es-CO"/>
      </w:rPr>
      <w:t>ANEXO TÉCNICO DE INSPECCIÓN, VIGILANCIA Y CONTROL - PHLC</w:t>
    </w:r>
  </w:p>
  <w:p w14:paraId="2C3435D9" w14:textId="77777777" w:rsidR="000A7C8B" w:rsidRPr="000A7C8B" w:rsidRDefault="000A7C8B">
    <w:pPr>
      <w:pStyle w:val="Encabezado"/>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aconnmeros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aconnmeros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aconvietas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aconvietas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aconnmeros"/>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aconvietas"/>
      <w:lvlText w:val=""/>
      <w:lvlJc w:val="left"/>
      <w:pPr>
        <w:tabs>
          <w:tab w:val="left" w:pos="360"/>
        </w:tabs>
        <w:ind w:left="360" w:hanging="360"/>
      </w:pPr>
      <w:rPr>
        <w:rFonts w:ascii="Symbol" w:hAnsi="Symbol" w:hint="default"/>
      </w:rPr>
    </w:lvl>
  </w:abstractNum>
  <w:abstractNum w:abstractNumId="6" w15:restartNumberingAfterBreak="0">
    <w:nsid w:val="0D860B04"/>
    <w:multiLevelType w:val="hybridMultilevel"/>
    <w:tmpl w:val="93407BD2"/>
    <w:lvl w:ilvl="0" w:tplc="240A0001">
      <w:start w:val="1"/>
      <w:numFmt w:val="bullet"/>
      <w:lvlText w:val=""/>
      <w:lvlJc w:val="left"/>
      <w:pPr>
        <w:ind w:left="861" w:hanging="360"/>
      </w:pPr>
      <w:rPr>
        <w:rFonts w:ascii="Symbol" w:hAnsi="Symbol" w:hint="default"/>
      </w:rPr>
    </w:lvl>
    <w:lvl w:ilvl="1" w:tplc="240A0003" w:tentative="1">
      <w:start w:val="1"/>
      <w:numFmt w:val="bullet"/>
      <w:lvlText w:val="o"/>
      <w:lvlJc w:val="left"/>
      <w:pPr>
        <w:ind w:left="1581" w:hanging="360"/>
      </w:pPr>
      <w:rPr>
        <w:rFonts w:ascii="Courier New" w:hAnsi="Courier New" w:cs="Courier New" w:hint="default"/>
      </w:rPr>
    </w:lvl>
    <w:lvl w:ilvl="2" w:tplc="240A0005" w:tentative="1">
      <w:start w:val="1"/>
      <w:numFmt w:val="bullet"/>
      <w:lvlText w:val=""/>
      <w:lvlJc w:val="left"/>
      <w:pPr>
        <w:ind w:left="2301" w:hanging="360"/>
      </w:pPr>
      <w:rPr>
        <w:rFonts w:ascii="Wingdings" w:hAnsi="Wingdings" w:hint="default"/>
      </w:rPr>
    </w:lvl>
    <w:lvl w:ilvl="3" w:tplc="240A0001" w:tentative="1">
      <w:start w:val="1"/>
      <w:numFmt w:val="bullet"/>
      <w:lvlText w:val=""/>
      <w:lvlJc w:val="left"/>
      <w:pPr>
        <w:ind w:left="3021" w:hanging="360"/>
      </w:pPr>
      <w:rPr>
        <w:rFonts w:ascii="Symbol" w:hAnsi="Symbol" w:hint="default"/>
      </w:rPr>
    </w:lvl>
    <w:lvl w:ilvl="4" w:tplc="240A0003" w:tentative="1">
      <w:start w:val="1"/>
      <w:numFmt w:val="bullet"/>
      <w:lvlText w:val="o"/>
      <w:lvlJc w:val="left"/>
      <w:pPr>
        <w:ind w:left="3741" w:hanging="360"/>
      </w:pPr>
      <w:rPr>
        <w:rFonts w:ascii="Courier New" w:hAnsi="Courier New" w:cs="Courier New" w:hint="default"/>
      </w:rPr>
    </w:lvl>
    <w:lvl w:ilvl="5" w:tplc="240A0005" w:tentative="1">
      <w:start w:val="1"/>
      <w:numFmt w:val="bullet"/>
      <w:lvlText w:val=""/>
      <w:lvlJc w:val="left"/>
      <w:pPr>
        <w:ind w:left="4461" w:hanging="360"/>
      </w:pPr>
      <w:rPr>
        <w:rFonts w:ascii="Wingdings" w:hAnsi="Wingdings" w:hint="default"/>
      </w:rPr>
    </w:lvl>
    <w:lvl w:ilvl="6" w:tplc="240A0001" w:tentative="1">
      <w:start w:val="1"/>
      <w:numFmt w:val="bullet"/>
      <w:lvlText w:val=""/>
      <w:lvlJc w:val="left"/>
      <w:pPr>
        <w:ind w:left="5181" w:hanging="360"/>
      </w:pPr>
      <w:rPr>
        <w:rFonts w:ascii="Symbol" w:hAnsi="Symbol" w:hint="default"/>
      </w:rPr>
    </w:lvl>
    <w:lvl w:ilvl="7" w:tplc="240A0003" w:tentative="1">
      <w:start w:val="1"/>
      <w:numFmt w:val="bullet"/>
      <w:lvlText w:val="o"/>
      <w:lvlJc w:val="left"/>
      <w:pPr>
        <w:ind w:left="5901" w:hanging="360"/>
      </w:pPr>
      <w:rPr>
        <w:rFonts w:ascii="Courier New" w:hAnsi="Courier New" w:cs="Courier New" w:hint="default"/>
      </w:rPr>
    </w:lvl>
    <w:lvl w:ilvl="8" w:tplc="240A0005" w:tentative="1">
      <w:start w:val="1"/>
      <w:numFmt w:val="bullet"/>
      <w:lvlText w:val=""/>
      <w:lvlJc w:val="left"/>
      <w:pPr>
        <w:ind w:left="6621" w:hanging="360"/>
      </w:pPr>
      <w:rPr>
        <w:rFonts w:ascii="Wingdings" w:hAnsi="Wingdings" w:hint="default"/>
      </w:rPr>
    </w:lvl>
  </w:abstractNum>
  <w:abstractNum w:abstractNumId="7" w15:restartNumberingAfterBreak="0">
    <w:nsid w:val="1DD9474F"/>
    <w:multiLevelType w:val="hybridMultilevel"/>
    <w:tmpl w:val="B83A19A0"/>
    <w:lvl w:ilvl="0" w:tplc="61DEE040">
      <w:numFmt w:val="bullet"/>
      <w:lvlText w:val="•"/>
      <w:lvlJc w:val="left"/>
      <w:pPr>
        <w:ind w:left="501" w:hanging="360"/>
      </w:pPr>
      <w:rPr>
        <w:rFonts w:ascii="Arial" w:eastAsia="Arial" w:hAnsi="Arial" w:cs="Arial" w:hint="default"/>
      </w:rPr>
    </w:lvl>
    <w:lvl w:ilvl="1" w:tplc="240A0003" w:tentative="1">
      <w:start w:val="1"/>
      <w:numFmt w:val="bullet"/>
      <w:lvlText w:val="o"/>
      <w:lvlJc w:val="left"/>
      <w:pPr>
        <w:ind w:left="1221" w:hanging="360"/>
      </w:pPr>
      <w:rPr>
        <w:rFonts w:ascii="Courier New" w:hAnsi="Courier New" w:cs="Courier New" w:hint="default"/>
      </w:rPr>
    </w:lvl>
    <w:lvl w:ilvl="2" w:tplc="240A0005" w:tentative="1">
      <w:start w:val="1"/>
      <w:numFmt w:val="bullet"/>
      <w:lvlText w:val=""/>
      <w:lvlJc w:val="left"/>
      <w:pPr>
        <w:ind w:left="1941" w:hanging="360"/>
      </w:pPr>
      <w:rPr>
        <w:rFonts w:ascii="Wingdings" w:hAnsi="Wingdings" w:hint="default"/>
      </w:rPr>
    </w:lvl>
    <w:lvl w:ilvl="3" w:tplc="240A0001" w:tentative="1">
      <w:start w:val="1"/>
      <w:numFmt w:val="bullet"/>
      <w:lvlText w:val=""/>
      <w:lvlJc w:val="left"/>
      <w:pPr>
        <w:ind w:left="2661" w:hanging="360"/>
      </w:pPr>
      <w:rPr>
        <w:rFonts w:ascii="Symbol" w:hAnsi="Symbol" w:hint="default"/>
      </w:rPr>
    </w:lvl>
    <w:lvl w:ilvl="4" w:tplc="240A0003" w:tentative="1">
      <w:start w:val="1"/>
      <w:numFmt w:val="bullet"/>
      <w:lvlText w:val="o"/>
      <w:lvlJc w:val="left"/>
      <w:pPr>
        <w:ind w:left="3381" w:hanging="360"/>
      </w:pPr>
      <w:rPr>
        <w:rFonts w:ascii="Courier New" w:hAnsi="Courier New" w:cs="Courier New" w:hint="default"/>
      </w:rPr>
    </w:lvl>
    <w:lvl w:ilvl="5" w:tplc="240A0005" w:tentative="1">
      <w:start w:val="1"/>
      <w:numFmt w:val="bullet"/>
      <w:lvlText w:val=""/>
      <w:lvlJc w:val="left"/>
      <w:pPr>
        <w:ind w:left="4101" w:hanging="360"/>
      </w:pPr>
      <w:rPr>
        <w:rFonts w:ascii="Wingdings" w:hAnsi="Wingdings" w:hint="default"/>
      </w:rPr>
    </w:lvl>
    <w:lvl w:ilvl="6" w:tplc="240A0001" w:tentative="1">
      <w:start w:val="1"/>
      <w:numFmt w:val="bullet"/>
      <w:lvlText w:val=""/>
      <w:lvlJc w:val="left"/>
      <w:pPr>
        <w:ind w:left="4821" w:hanging="360"/>
      </w:pPr>
      <w:rPr>
        <w:rFonts w:ascii="Symbol" w:hAnsi="Symbol" w:hint="default"/>
      </w:rPr>
    </w:lvl>
    <w:lvl w:ilvl="7" w:tplc="240A0003" w:tentative="1">
      <w:start w:val="1"/>
      <w:numFmt w:val="bullet"/>
      <w:lvlText w:val="o"/>
      <w:lvlJc w:val="left"/>
      <w:pPr>
        <w:ind w:left="5541" w:hanging="360"/>
      </w:pPr>
      <w:rPr>
        <w:rFonts w:ascii="Courier New" w:hAnsi="Courier New" w:cs="Courier New" w:hint="default"/>
      </w:rPr>
    </w:lvl>
    <w:lvl w:ilvl="8" w:tplc="240A0005" w:tentative="1">
      <w:start w:val="1"/>
      <w:numFmt w:val="bullet"/>
      <w:lvlText w:val=""/>
      <w:lvlJc w:val="left"/>
      <w:pPr>
        <w:ind w:left="6261" w:hanging="360"/>
      </w:pPr>
      <w:rPr>
        <w:rFonts w:ascii="Wingdings" w:hAnsi="Wingdings" w:hint="default"/>
      </w:rPr>
    </w:lvl>
  </w:abstractNum>
  <w:num w:numId="1" w16cid:durableId="48000080">
    <w:abstractNumId w:val="1"/>
  </w:num>
  <w:num w:numId="2" w16cid:durableId="703216909">
    <w:abstractNumId w:val="0"/>
  </w:num>
  <w:num w:numId="3" w16cid:durableId="223295954">
    <w:abstractNumId w:val="4"/>
  </w:num>
  <w:num w:numId="4" w16cid:durableId="2030334974">
    <w:abstractNumId w:val="2"/>
  </w:num>
  <w:num w:numId="5" w16cid:durableId="750393671">
    <w:abstractNumId w:val="5"/>
  </w:num>
  <w:num w:numId="6" w16cid:durableId="1427576245">
    <w:abstractNumId w:val="3"/>
  </w:num>
  <w:num w:numId="7" w16cid:durableId="1291280754">
    <w:abstractNumId w:val="6"/>
  </w:num>
  <w:num w:numId="8" w16cid:durableId="7890123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7C8B"/>
    <w:rsid w:val="0015074B"/>
    <w:rsid w:val="0029639D"/>
    <w:rsid w:val="00326F90"/>
    <w:rsid w:val="0056308E"/>
    <w:rsid w:val="0059707D"/>
    <w:rsid w:val="007466D7"/>
    <w:rsid w:val="00AA1D8D"/>
    <w:rsid w:val="00B172E6"/>
    <w:rsid w:val="00B47730"/>
    <w:rsid w:val="00C57D31"/>
    <w:rsid w:val="00CB0664"/>
    <w:rsid w:val="00DB0044"/>
    <w:rsid w:val="00DF36C6"/>
    <w:rsid w:val="00DF3F8A"/>
    <w:rsid w:val="00E21625"/>
    <w:rsid w:val="00E766FF"/>
    <w:rsid w:val="00FC693F"/>
    <w:rsid w:val="635E5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EE1344"/>
  <w14:defaultImageDpi w14:val="300"/>
  <w15:docId w15:val="{58A35751-A5A6-4E6B-B9C3-1C726F35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lsdException w:name="List Bullet" w:unhideWhenUsed="1"/>
    <w:lsdException w:name="List Number"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unhideWhenUsed="1"/>
    <w:lsdException w:name="List Continue 2" w:unhideWhenUsed="1"/>
    <w:lsdException w:name="List Continue 3"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sz w:val="22"/>
      <w:szCs w:val="22"/>
      <w:lang w:val="en-US" w:eastAsia="en-US"/>
    </w:rPr>
  </w:style>
  <w:style w:type="paragraph" w:styleId="Ttulo1">
    <w:name w:val="heading 1"/>
    <w:basedOn w:val="Normal"/>
    <w:next w:val="Normal"/>
    <w:link w:val="Ttulo1Car"/>
    <w:uiPriority w:val="9"/>
    <w:qFormat/>
    <w:pPr>
      <w:keepNext/>
      <w:keepLines/>
      <w:outlineLvl w:val="0"/>
    </w:pPr>
    <w:rPr>
      <w:rFonts w:asciiTheme="majorHAnsi" w:eastAsiaTheme="majorEastAsia" w:hAnsiTheme="majorHAnsi" w:cstheme="majorBidi"/>
      <w:b/>
      <w:bCs/>
      <w:color w:val="365F91" w:themeColor="accent1" w:themeShade="BF"/>
      <w:sz w:val="24"/>
      <w:szCs w:val="28"/>
    </w:rPr>
  </w:style>
  <w:style w:type="paragraph" w:styleId="Ttulo2">
    <w:name w:val="heading 2"/>
    <w:basedOn w:val="Normal"/>
    <w:next w:val="Normal"/>
    <w:link w:val="Ttulo2Car"/>
    <w:uiPriority w:val="9"/>
    <w:unhideWhenUsed/>
    <w:qFormat/>
    <w:pPr>
      <w:keepNext/>
      <w:keepLines/>
      <w:outlineLvl w:val="1"/>
    </w:pPr>
    <w:rPr>
      <w:rFonts w:asciiTheme="majorHAnsi" w:eastAsiaTheme="majorEastAsia" w:hAnsiTheme="majorHAnsi" w:cstheme="majorBidi"/>
      <w:b/>
      <w:bCs/>
      <w:color w:val="4F81BD" w:themeColor="accent1"/>
      <w:szCs w:val="26"/>
    </w:rPr>
  </w:style>
  <w:style w:type="paragraph" w:styleId="Ttulo3">
    <w:name w:val="heading 3"/>
    <w:basedOn w:val="Normal"/>
    <w:next w:val="Normal"/>
    <w:link w:val="Ttulo3Car"/>
    <w:uiPriority w:val="9"/>
    <w:unhideWhenUsed/>
    <w:qFormat/>
    <w:pPr>
      <w:keepNext/>
      <w:keepLines/>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pPr>
      <w:keepNext/>
      <w:keepLines/>
      <w:spacing w:before="200"/>
      <w:outlineLvl w:val="4"/>
    </w:pPr>
    <w:rPr>
      <w:rFonts w:asciiTheme="majorHAnsi" w:eastAsiaTheme="majorEastAsia" w:hAnsiTheme="majorHAnsi" w:cstheme="majorBidi"/>
      <w:color w:val="244061" w:themeColor="accent1" w:themeShade="80"/>
    </w:rPr>
  </w:style>
  <w:style w:type="paragraph" w:styleId="Ttulo6">
    <w:name w:val="heading 6"/>
    <w:basedOn w:val="Normal"/>
    <w:next w:val="Normal"/>
    <w:link w:val="Ttulo6Car"/>
    <w:uiPriority w:val="9"/>
    <w:semiHidden/>
    <w:unhideWhenUsed/>
    <w:qFormat/>
    <w:pPr>
      <w:keepNext/>
      <w:keepLines/>
      <w:spacing w:before="200"/>
      <w:outlineLvl w:val="5"/>
    </w:pPr>
    <w:rPr>
      <w:rFonts w:asciiTheme="majorHAnsi" w:eastAsiaTheme="majorEastAsia" w:hAnsiTheme="majorHAnsi" w:cstheme="majorBidi"/>
      <w:i/>
      <w:iCs/>
      <w:color w:val="244061" w:themeColor="accent1" w:themeShade="80"/>
    </w:rPr>
  </w:style>
  <w:style w:type="paragraph" w:styleId="Ttulo7">
    <w:name w:val="heading 7"/>
    <w:basedOn w:val="Normal"/>
    <w:next w:val="Normal"/>
    <w:link w:val="Ttulo7C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spacing w:before="20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Fuerte">
    <w:name w:val="Strong"/>
    <w:basedOn w:val="Fuentedeprrafopredeter"/>
    <w:uiPriority w:val="22"/>
    <w:qFormat/>
    <w:rPr>
      <w:b/>
      <w:bCs/>
    </w:rPr>
  </w:style>
  <w:style w:type="paragraph" w:styleId="Continuarlista2">
    <w:name w:val="List Continue 2"/>
    <w:basedOn w:val="Normal"/>
    <w:uiPriority w:val="99"/>
    <w:unhideWhenUsed/>
    <w:pPr>
      <w:spacing w:after="120"/>
      <w:ind w:left="720"/>
      <w:contextualSpacing/>
    </w:pPr>
  </w:style>
  <w:style w:type="paragraph" w:styleId="Descripcin">
    <w:name w:val="caption"/>
    <w:basedOn w:val="Normal"/>
    <w:next w:val="Normal"/>
    <w:uiPriority w:val="35"/>
    <w:semiHidden/>
    <w:unhideWhenUsed/>
    <w:qFormat/>
    <w:rPr>
      <w:b/>
      <w:bCs/>
      <w:color w:val="4F81BD" w:themeColor="accent1"/>
      <w:sz w:val="18"/>
      <w:szCs w:val="18"/>
    </w:rPr>
  </w:style>
  <w:style w:type="paragraph" w:styleId="Textomacro">
    <w:name w:val="macro"/>
    <w:link w:val="TextomacroC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paragraph" w:styleId="Continuarlista3">
    <w:name w:val="List Continue 3"/>
    <w:basedOn w:val="Normal"/>
    <w:uiPriority w:val="99"/>
    <w:unhideWhenUsed/>
    <w:pPr>
      <w:spacing w:after="120"/>
      <w:ind w:left="1080"/>
      <w:contextualSpacing/>
    </w:pPr>
  </w:style>
  <w:style w:type="paragraph" w:styleId="Continuarlista">
    <w:name w:val="List Continue"/>
    <w:basedOn w:val="Normal"/>
    <w:uiPriority w:val="99"/>
    <w:unhideWhenUsed/>
    <w:pPr>
      <w:spacing w:after="120"/>
      <w:ind w:left="360"/>
      <w:contextualSpacing/>
    </w:pPr>
  </w:style>
  <w:style w:type="paragraph" w:styleId="Textoindependiente2">
    <w:name w:val="Body Text 2"/>
    <w:basedOn w:val="Normal"/>
    <w:link w:val="Textoindependiente2Car"/>
    <w:uiPriority w:val="99"/>
    <w:unhideWhenUsed/>
    <w:pPr>
      <w:spacing w:after="120" w:line="480" w:lineRule="auto"/>
    </w:pPr>
  </w:style>
  <w:style w:type="paragraph" w:styleId="Lista3">
    <w:name w:val="List 3"/>
    <w:basedOn w:val="Normal"/>
    <w:uiPriority w:val="99"/>
    <w:unhideWhenUsed/>
    <w:pPr>
      <w:ind w:left="1080" w:hanging="360"/>
      <w:contextualSpacing/>
    </w:pPr>
  </w:style>
  <w:style w:type="paragraph" w:styleId="Listaconnmeros2">
    <w:name w:val="List Number 2"/>
    <w:basedOn w:val="Normal"/>
    <w:uiPriority w:val="99"/>
    <w:unhideWhenUsed/>
    <w:pPr>
      <w:numPr>
        <w:numId w:val="1"/>
      </w:numPr>
      <w:contextualSpacing/>
    </w:pPr>
  </w:style>
  <w:style w:type="paragraph" w:styleId="Encabezado">
    <w:name w:val="header"/>
    <w:basedOn w:val="Normal"/>
    <w:link w:val="EncabezadoCar"/>
    <w:uiPriority w:val="99"/>
    <w:unhideWhenUsed/>
    <w:qFormat/>
    <w:pPr>
      <w:tabs>
        <w:tab w:val="center" w:pos="4680"/>
        <w:tab w:val="right" w:pos="9360"/>
      </w:tabs>
    </w:pPr>
  </w:style>
  <w:style w:type="paragraph" w:styleId="Listaconnmeros3">
    <w:name w:val="List Number 3"/>
    <w:basedOn w:val="Normal"/>
    <w:uiPriority w:val="99"/>
    <w:unhideWhenUsed/>
    <w:pPr>
      <w:numPr>
        <w:numId w:val="2"/>
      </w:numPr>
      <w:contextualSpacing/>
    </w:pPr>
  </w:style>
  <w:style w:type="paragraph" w:styleId="Listaconnmeros">
    <w:name w:val="List Number"/>
    <w:basedOn w:val="Normal"/>
    <w:uiPriority w:val="99"/>
    <w:unhideWhenUsed/>
    <w:pPr>
      <w:numPr>
        <w:numId w:val="3"/>
      </w:numPr>
      <w:contextualSpacing/>
    </w:pPr>
  </w:style>
  <w:style w:type="paragraph" w:styleId="Lista2">
    <w:name w:val="List 2"/>
    <w:basedOn w:val="Normal"/>
    <w:uiPriority w:val="99"/>
    <w:unhideWhenUsed/>
    <w:pPr>
      <w:ind w:left="720" w:hanging="360"/>
      <w:contextualSpacing/>
    </w:pPr>
  </w:style>
  <w:style w:type="paragraph" w:styleId="Listaconvietas3">
    <w:name w:val="List Bullet 3"/>
    <w:basedOn w:val="Normal"/>
    <w:uiPriority w:val="99"/>
    <w:unhideWhenUsed/>
    <w:pPr>
      <w:numPr>
        <w:numId w:val="4"/>
      </w:numPr>
      <w:contextualSpacing/>
    </w:pPr>
  </w:style>
  <w:style w:type="paragraph" w:styleId="Lista">
    <w:name w:val="List"/>
    <w:basedOn w:val="Normal"/>
    <w:uiPriority w:val="99"/>
    <w:unhideWhenUsed/>
    <w:pPr>
      <w:ind w:left="360" w:hanging="360"/>
      <w:contextualSpacing/>
    </w:pPr>
  </w:style>
  <w:style w:type="paragraph" w:styleId="Listaconvietas">
    <w:name w:val="List Bullet"/>
    <w:basedOn w:val="Normal"/>
    <w:uiPriority w:val="99"/>
    <w:unhideWhenUsed/>
    <w:pPr>
      <w:numPr>
        <w:numId w:val="5"/>
      </w:numPr>
      <w:contextualSpacing/>
    </w:pPr>
  </w:style>
  <w:style w:type="paragraph" w:styleId="Listaconvietas2">
    <w:name w:val="List Bullet 2"/>
    <w:basedOn w:val="Normal"/>
    <w:uiPriority w:val="99"/>
    <w:unhideWhenUsed/>
    <w:pPr>
      <w:numPr>
        <w:numId w:val="6"/>
      </w:numPr>
      <w:contextualSpacing/>
    </w:pPr>
  </w:style>
  <w:style w:type="paragraph" w:styleId="Piedepgina">
    <w:name w:val="footer"/>
    <w:basedOn w:val="Normal"/>
    <w:link w:val="PiedepginaCar"/>
    <w:uiPriority w:val="99"/>
    <w:unhideWhenUsed/>
    <w:qFormat/>
    <w:pPr>
      <w:tabs>
        <w:tab w:val="center" w:pos="4680"/>
        <w:tab w:val="right" w:pos="9360"/>
      </w:tabs>
    </w:pPr>
  </w:style>
  <w:style w:type="paragraph" w:styleId="Subttulo">
    <w:name w:val="Subtitle"/>
    <w:basedOn w:val="Normal"/>
    <w:next w:val="Normal"/>
    <w:link w:val="SubttuloCar"/>
    <w:uiPriority w:val="11"/>
    <w:qFormat/>
    <w:rPr>
      <w:rFonts w:asciiTheme="majorHAnsi" w:eastAsiaTheme="majorEastAsia" w:hAnsiTheme="majorHAnsi" w:cstheme="majorBidi"/>
      <w:i/>
      <w:iCs/>
      <w:color w:val="4F81BD" w:themeColor="accent1"/>
      <w:spacing w:val="15"/>
      <w:sz w:val="24"/>
      <w:szCs w:val="24"/>
    </w:rPr>
  </w:style>
  <w:style w:type="paragraph" w:styleId="Textoindependiente">
    <w:name w:val="Body Text"/>
    <w:basedOn w:val="Normal"/>
    <w:link w:val="TextoindependienteCar"/>
    <w:uiPriority w:val="99"/>
    <w:unhideWhenUsed/>
  </w:style>
  <w:style w:type="paragraph" w:styleId="Textoindependiente3">
    <w:name w:val="Body Text 3"/>
    <w:basedOn w:val="Normal"/>
    <w:link w:val="Textoindependiente3Car"/>
    <w:uiPriority w:val="99"/>
    <w:unhideWhenUsed/>
    <w:pPr>
      <w:spacing w:after="120"/>
    </w:pPr>
    <w:rPr>
      <w:sz w:val="16"/>
      <w:szCs w:val="16"/>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sz w:val="22"/>
      <w:szCs w:val="22"/>
      <w:lang w:val="en-US" w:eastAsia="en-US"/>
    </w:rPr>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pPr>
      <w:ind w:left="720"/>
      <w:contextualSpacing/>
    </w:pPr>
  </w:style>
  <w:style w:type="character" w:customStyle="1" w:styleId="TextoindependienteCar">
    <w:name w:val="Texto independiente Car"/>
    <w:basedOn w:val="Fuentedeprrafopredeter"/>
    <w:link w:val="Textoindependiente"/>
    <w:uiPriority w:val="99"/>
  </w:style>
  <w:style w:type="character" w:customStyle="1" w:styleId="Textoindependiente2Car">
    <w:name w:val="Texto independiente 2 Car"/>
    <w:basedOn w:val="Fuentedeprrafopredeter"/>
    <w:link w:val="Textoindependiente2"/>
    <w:uiPriority w:val="99"/>
  </w:style>
  <w:style w:type="character" w:customStyle="1" w:styleId="Textoindependiente3Car">
    <w:name w:val="Texto independiente 3 Car"/>
    <w:basedOn w:val="Fuentedeprrafopredeter"/>
    <w:link w:val="Textoindependiente3"/>
    <w:uiPriority w:val="99"/>
    <w:rPr>
      <w:sz w:val="16"/>
      <w:szCs w:val="16"/>
    </w:rPr>
  </w:style>
  <w:style w:type="character" w:customStyle="1" w:styleId="TextomacroCar">
    <w:name w:val="Texto macro Car"/>
    <w:basedOn w:val="Fuentedeprrafopredeter"/>
    <w:link w:val="Textomacro"/>
    <w:uiPriority w:val="99"/>
    <w:rPr>
      <w:rFonts w:ascii="Courier" w:hAnsi="Courier"/>
      <w:sz w:val="20"/>
      <w:szCs w:val="20"/>
    </w:rPr>
  </w:style>
  <w:style w:type="paragraph" w:styleId="Cita">
    <w:name w:val="Quote"/>
    <w:basedOn w:val="Normal"/>
    <w:next w:val="Normal"/>
    <w:link w:val="CitaCar"/>
    <w:uiPriority w:val="29"/>
    <w:qFormat/>
    <w:rPr>
      <w:i/>
      <w:iCs/>
      <w:color w:val="000000" w:themeColor="text1"/>
    </w:rPr>
  </w:style>
  <w:style w:type="character" w:customStyle="1" w:styleId="CitaCar">
    <w:name w:val="Cita Car"/>
    <w:basedOn w:val="Fuentedeprrafopredeter"/>
    <w:link w:val="Cita"/>
    <w:uiPriority w:val="29"/>
    <w:rPr>
      <w:i/>
      <w:iCs/>
      <w:color w:val="000000" w:themeColor="text1"/>
    </w:rPr>
  </w:style>
  <w:style w:type="character" w:customStyle="1" w:styleId="Ttulo4Car">
    <w:name w:val="Título 4 Car"/>
    <w:basedOn w:val="Fuentedeprrafopredeter"/>
    <w:link w:val="Ttulo4"/>
    <w:uiPriority w:val="9"/>
    <w:semiHidden/>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244061" w:themeColor="accent1" w:themeShade="80"/>
    </w:rPr>
  </w:style>
  <w:style w:type="character" w:customStyle="1" w:styleId="Ttulo6Car">
    <w:name w:val="Título 6 Car"/>
    <w:basedOn w:val="Fuentedeprrafopredeter"/>
    <w:link w:val="Ttulo6"/>
    <w:uiPriority w:val="9"/>
    <w:semiHidden/>
    <w:rPr>
      <w:rFonts w:asciiTheme="majorHAnsi" w:eastAsiaTheme="majorEastAsia" w:hAnsiTheme="majorHAnsi" w:cstheme="majorBidi"/>
      <w:i/>
      <w:iCs/>
      <w:color w:val="244061" w:themeColor="accent1" w:themeShade="80"/>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color w:val="404040" w:themeColor="text1" w:themeTint="BF"/>
      <w:sz w:val="20"/>
      <w:szCs w:val="20"/>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Pr>
      <w:b/>
      <w:bCs/>
      <w:i/>
      <w:iCs/>
      <w:color w:val="4F81BD" w:themeColor="accent1"/>
    </w:rPr>
  </w:style>
  <w:style w:type="character" w:customStyle="1" w:styleId="nfasissutil1">
    <w:name w:val="Énfasis sutil1"/>
    <w:basedOn w:val="Fuentedeprrafopredeter"/>
    <w:uiPriority w:val="19"/>
    <w:qFormat/>
    <w:rPr>
      <w:i/>
      <w:iCs/>
      <w:color w:val="7F7F7F" w:themeColor="text1" w:themeTint="80"/>
    </w:rPr>
  </w:style>
  <w:style w:type="character" w:customStyle="1" w:styleId="nfasisintenso1">
    <w:name w:val="Énfasis intenso1"/>
    <w:basedOn w:val="Fuentedeprrafopredeter"/>
    <w:uiPriority w:val="21"/>
    <w:qFormat/>
    <w:rPr>
      <w:b/>
      <w:bCs/>
      <w:i/>
      <w:iCs/>
      <w:color w:val="4F81BD" w:themeColor="accent1"/>
    </w:rPr>
  </w:style>
  <w:style w:type="character" w:customStyle="1" w:styleId="Referenciasutil1">
    <w:name w:val="Referencia sutil1"/>
    <w:basedOn w:val="Fuentedeprrafopredeter"/>
    <w:uiPriority w:val="31"/>
    <w:qFormat/>
    <w:rPr>
      <w:smallCaps/>
      <w:color w:val="C0504D" w:themeColor="accent2"/>
      <w:u w:val="single"/>
    </w:rPr>
  </w:style>
  <w:style w:type="character" w:customStyle="1" w:styleId="Referenciaintensa1">
    <w:name w:val="Referencia intensa1"/>
    <w:basedOn w:val="Fuentedeprrafopredeter"/>
    <w:uiPriority w:val="32"/>
    <w:qFormat/>
    <w:rPr>
      <w:b/>
      <w:bCs/>
      <w:smallCaps/>
      <w:color w:val="C0504D" w:themeColor="accent2"/>
      <w:spacing w:val="5"/>
      <w:u w:val="single"/>
    </w:rPr>
  </w:style>
  <w:style w:type="character" w:customStyle="1" w:styleId="Ttulodellibro1">
    <w:name w:val="Título del libro1"/>
    <w:basedOn w:val="Fuentedeprrafopredeter"/>
    <w:uiPriority w:val="33"/>
    <w:qFormat/>
    <w:rPr>
      <w:b/>
      <w:bCs/>
      <w:smallCaps/>
      <w:spacing w:val="5"/>
    </w:rPr>
  </w:style>
  <w:style w:type="paragraph" w:customStyle="1" w:styleId="TtuloTDC1">
    <w:name w:val="Título TDC1"/>
    <w:basedOn w:val="Ttulo1"/>
    <w:next w:val="Normal"/>
    <w:uiPriority w:val="39"/>
    <w:semiHidden/>
    <w:unhideWhenUsed/>
    <w:qFormat/>
    <w:pPr>
      <w:outlineLvl w:val="9"/>
    </w:pPr>
  </w:style>
  <w:style w:type="table" w:styleId="Sombreadoclaro">
    <w:name w:val="Light Shading"/>
    <w:basedOn w:val="Tabla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Cuadrculaclara-nfasis1">
    <w:name w:val="Light Grid Accent 1"/>
    <w:basedOn w:val="Tablanormal"/>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Cuadrculaclara-nfasis2">
    <w:name w:val="Light Grid Accent 2"/>
    <w:basedOn w:val="Tablanormal"/>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Cuadrculaclara-nfasis3">
    <w:name w:val="Light Grid Accent 3"/>
    <w:basedOn w:val="Tablanormal"/>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Cuadrculaclara-nfasis4">
    <w:name w:val="Light Grid Accent 4"/>
    <w:basedOn w:val="Tablanormal"/>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Cuadrculaclara-nfasis5">
    <w:name w:val="Light Grid Accent 5"/>
    <w:basedOn w:val="Tablanormal"/>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Cuadrculaclara-nfasis6">
    <w:name w:val="Light Grid Accent 6"/>
    <w:basedOn w:val="Tablanormal"/>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Sombreadomedio1">
    <w:name w:val="Medium Shading 1"/>
    <w:basedOn w:val="Tablanormal"/>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Cuadrculamedia3-nfasis1">
    <w:name w:val="Medium Grid 3 Accent 1"/>
    <w:basedOn w:val="Tabla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Cuadrculamedia3-nfasis2">
    <w:name w:val="Medium Grid 3 Accent 2"/>
    <w:basedOn w:val="Tabla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Cuadrculamedia3-nfasis3">
    <w:name w:val="Medium Grid 3 Accent 3"/>
    <w:basedOn w:val="Tabla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Cuadrculamedia3-nfasis4">
    <w:name w:val="Medium Grid 3 Accent 4"/>
    <w:basedOn w:val="Tabla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Cuadrculamedia3-nfasis5">
    <w:name w:val="Medium Grid 3 Accent 5"/>
    <w:basedOn w:val="Tabla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Cuadrculamedia3-nfasis6">
    <w:name w:val="Medium Grid 3 Accent 6"/>
    <w:basedOn w:val="Tabla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Listaoscura">
    <w:name w:val="Dark List"/>
    <w:basedOn w:val="Tablanormal"/>
    <w:uiPriority w:val="70"/>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2670</Words>
  <Characters>14686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Gerardo Porras Rueda</cp:lastModifiedBy>
  <cp:revision>4</cp:revision>
  <dcterms:created xsi:type="dcterms:W3CDTF">2013-12-23T23:15:00Z</dcterms:created>
  <dcterms:modified xsi:type="dcterms:W3CDTF">2026-06-02T04:30:00Z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2058-12.1.0.26372</vt:lpwstr>
  </property>
  <property fmtid="{D5CDD505-2E9C-101B-9397-08002B2CF9AE}" pid="3" name="ICV">
    <vt:lpwstr>7991386DB73D44E6ABCABA8A66B2957F_13</vt:lpwstr>
  </property>
</Properties>
</file>