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23C2D" w14:textId="77777777" w:rsidR="005B4105" w:rsidRPr="002D1BB0" w:rsidRDefault="005B4105" w:rsidP="007A1414">
      <w:pPr>
        <w:spacing w:after="0" w:line="240" w:lineRule="auto"/>
        <w:contextualSpacing/>
        <w:jc w:val="both"/>
        <w:rPr>
          <w:rFonts w:ascii="Arial Narrow" w:hAnsi="Arial Narrow"/>
          <w:sz w:val="24"/>
          <w:szCs w:val="24"/>
          <w:lang w:val="es-CO"/>
        </w:rPr>
      </w:pPr>
    </w:p>
    <w:p w14:paraId="1F8B7E7D" w14:textId="77777777" w:rsidR="005B4105" w:rsidRPr="002D1BB0" w:rsidRDefault="005B4105" w:rsidP="007A1414">
      <w:pPr>
        <w:spacing w:after="0" w:line="240" w:lineRule="auto"/>
        <w:contextualSpacing/>
        <w:jc w:val="center"/>
        <w:rPr>
          <w:rFonts w:ascii="Arial Narrow" w:hAnsi="Arial Narrow" w:cs="Arial"/>
          <w:b/>
          <w:sz w:val="24"/>
          <w:szCs w:val="24"/>
          <w:lang w:val="es-CO"/>
        </w:rPr>
      </w:pPr>
      <w:r w:rsidRPr="002D1BB0">
        <w:rPr>
          <w:rFonts w:ascii="Arial Narrow" w:hAnsi="Arial Narrow" w:cs="Arial"/>
          <w:b/>
          <w:sz w:val="24"/>
          <w:szCs w:val="24"/>
          <w:lang w:val="es-CO"/>
        </w:rPr>
        <w:t>CIRCULAR EXTERNA No.</w:t>
      </w:r>
    </w:p>
    <w:p w14:paraId="458049DE" w14:textId="77777777" w:rsidR="005B4105" w:rsidRPr="002D1BB0" w:rsidRDefault="005B4105" w:rsidP="007A1414">
      <w:pPr>
        <w:pStyle w:val="NormalWeb"/>
        <w:shd w:val="clear" w:color="auto" w:fill="FFFFFF"/>
        <w:spacing w:before="0" w:beforeAutospacing="0" w:after="0" w:afterAutospacing="0"/>
        <w:contextualSpacing/>
        <w:jc w:val="both"/>
        <w:rPr>
          <w:rFonts w:ascii="Arial Narrow" w:hAnsi="Arial Narrow"/>
          <w:color w:val="212529"/>
          <w:lang w:val="es-CO"/>
        </w:rPr>
      </w:pPr>
    </w:p>
    <w:p w14:paraId="659E95EC" w14:textId="6E6DAF92" w:rsidR="005B4105" w:rsidRPr="00E1132D" w:rsidRDefault="005B4105" w:rsidP="007A1414">
      <w:pPr>
        <w:pStyle w:val="NormalWeb"/>
        <w:shd w:val="clear" w:color="auto" w:fill="FFFFFF"/>
        <w:spacing w:before="0" w:beforeAutospacing="0" w:after="0" w:afterAutospacing="0"/>
        <w:ind w:left="1410" w:hanging="1410"/>
        <w:contextualSpacing/>
        <w:jc w:val="both"/>
        <w:rPr>
          <w:rFonts w:ascii="Arial Narrow" w:hAnsi="Arial Narrow"/>
          <w:color w:val="000000" w:themeColor="text1"/>
          <w:lang w:val="es-CO"/>
        </w:rPr>
      </w:pPr>
      <w:r w:rsidRPr="002D1BB0">
        <w:rPr>
          <w:rFonts w:ascii="Arial Narrow" w:hAnsi="Arial Narrow"/>
          <w:b/>
          <w:bCs/>
          <w:color w:val="212529"/>
          <w:lang w:val="es-CO"/>
        </w:rPr>
        <w:t>PARA:</w:t>
      </w:r>
      <w:r w:rsidRPr="002D1BB0">
        <w:rPr>
          <w:rFonts w:ascii="Arial Narrow" w:hAnsi="Arial Narrow"/>
          <w:color w:val="212529"/>
          <w:lang w:val="es-CO"/>
        </w:rPr>
        <w:t xml:space="preserve"> </w:t>
      </w:r>
      <w:r w:rsidRPr="002D1BB0">
        <w:rPr>
          <w:rFonts w:ascii="Arial Narrow" w:hAnsi="Arial Narrow"/>
          <w:color w:val="212529"/>
          <w:lang w:val="es-CO"/>
        </w:rPr>
        <w:tab/>
      </w:r>
      <w:r w:rsidRPr="002D1BB0">
        <w:rPr>
          <w:rFonts w:ascii="Arial Narrow" w:hAnsi="Arial Narrow"/>
          <w:color w:val="212529"/>
          <w:lang w:val="es-CO"/>
        </w:rPr>
        <w:tab/>
      </w:r>
      <w:r w:rsidR="00C30D0A">
        <w:rPr>
          <w:rFonts w:ascii="Arial Narrow" w:hAnsi="Arial Narrow" w:cs="Arial"/>
          <w:lang w:val="es-CO"/>
        </w:rPr>
        <w:t>Autoridades de Tránsito, Organismos de Tránsito, E</w:t>
      </w:r>
      <w:r w:rsidR="00C30D0A" w:rsidRPr="00C30D0A">
        <w:rPr>
          <w:rFonts w:ascii="Arial Narrow" w:hAnsi="Arial Narrow" w:cs="Arial"/>
          <w:lang w:val="es-CO"/>
        </w:rPr>
        <w:t xml:space="preserve">ntidades del Sistema Nacional de </w:t>
      </w:r>
      <w:r w:rsidR="00C30D0A" w:rsidRPr="00E1132D">
        <w:rPr>
          <w:rFonts w:ascii="Arial Narrow" w:hAnsi="Arial Narrow" w:cs="Arial"/>
          <w:color w:val="000000" w:themeColor="text1"/>
          <w:lang w:val="es-CO"/>
        </w:rPr>
        <w:t>Transporte</w:t>
      </w:r>
    </w:p>
    <w:p w14:paraId="0FEA7B7E" w14:textId="77777777" w:rsidR="005B4105" w:rsidRPr="00E1132D" w:rsidRDefault="005B4105" w:rsidP="007A1414">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319054CF" w14:textId="73AD7924" w:rsidR="005B4105" w:rsidRPr="00E1132D" w:rsidRDefault="005B4105" w:rsidP="007A1414">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E1132D">
        <w:rPr>
          <w:rFonts w:ascii="Arial Narrow" w:hAnsi="Arial Narrow"/>
          <w:b/>
          <w:bCs/>
          <w:color w:val="000000" w:themeColor="text1"/>
          <w:lang w:val="es-CO"/>
        </w:rPr>
        <w:t>DE:</w:t>
      </w:r>
      <w:r w:rsidRPr="00E1132D">
        <w:rPr>
          <w:rFonts w:ascii="Arial Narrow" w:hAnsi="Arial Narrow"/>
          <w:color w:val="000000" w:themeColor="text1"/>
          <w:lang w:val="es-CO"/>
        </w:rPr>
        <w:tab/>
      </w:r>
      <w:r w:rsidRPr="00E1132D">
        <w:rPr>
          <w:rFonts w:ascii="Arial Narrow" w:hAnsi="Arial Narrow"/>
          <w:color w:val="000000" w:themeColor="text1"/>
          <w:lang w:val="es-CO"/>
        </w:rPr>
        <w:tab/>
        <w:t>Superintenden</w:t>
      </w:r>
      <w:r w:rsidR="00C30D0A" w:rsidRPr="00E1132D">
        <w:rPr>
          <w:rFonts w:ascii="Arial Narrow" w:hAnsi="Arial Narrow"/>
          <w:color w:val="000000" w:themeColor="text1"/>
          <w:lang w:val="es-CO"/>
        </w:rPr>
        <w:t>cia</w:t>
      </w:r>
      <w:r w:rsidRPr="00E1132D">
        <w:rPr>
          <w:rFonts w:ascii="Arial Narrow" w:hAnsi="Arial Narrow"/>
          <w:color w:val="000000" w:themeColor="text1"/>
          <w:lang w:val="es-CO"/>
        </w:rPr>
        <w:t xml:space="preserve"> de Transporte</w:t>
      </w:r>
    </w:p>
    <w:p w14:paraId="09126058" w14:textId="77777777" w:rsidR="005B4105" w:rsidRPr="00E1132D" w:rsidRDefault="005B4105" w:rsidP="007A1414">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21633064" w14:textId="3C99142B" w:rsidR="00631DE9" w:rsidRPr="00E1132D" w:rsidRDefault="005B4105" w:rsidP="007A1414">
      <w:pPr>
        <w:spacing w:after="0" w:line="240" w:lineRule="auto"/>
        <w:contextualSpacing/>
        <w:jc w:val="both"/>
        <w:rPr>
          <w:rFonts w:ascii="Arial Narrow" w:eastAsia="Calibri" w:hAnsi="Arial Narrow" w:cs="Arial"/>
          <w:color w:val="000000" w:themeColor="text1"/>
          <w:sz w:val="24"/>
          <w:szCs w:val="24"/>
          <w:lang w:val="es-CO"/>
        </w:rPr>
      </w:pPr>
      <w:r w:rsidRPr="00E1132D">
        <w:rPr>
          <w:rFonts w:ascii="Arial Narrow" w:hAnsi="Arial Narrow"/>
          <w:b/>
          <w:bCs/>
          <w:color w:val="000000" w:themeColor="text1"/>
          <w:sz w:val="24"/>
          <w:szCs w:val="24"/>
          <w:lang w:val="es-CO"/>
        </w:rPr>
        <w:t>ASUNTO:</w:t>
      </w:r>
      <w:r w:rsidRPr="00E1132D">
        <w:rPr>
          <w:rFonts w:ascii="Arial Narrow" w:hAnsi="Arial Narrow"/>
          <w:color w:val="000000" w:themeColor="text1"/>
          <w:sz w:val="24"/>
          <w:szCs w:val="24"/>
          <w:lang w:val="es-CO"/>
        </w:rPr>
        <w:t xml:space="preserve"> </w:t>
      </w:r>
      <w:r w:rsidRPr="00E1132D">
        <w:rPr>
          <w:rFonts w:ascii="Arial Narrow" w:hAnsi="Arial Narrow"/>
          <w:color w:val="000000" w:themeColor="text1"/>
          <w:sz w:val="24"/>
          <w:szCs w:val="24"/>
          <w:lang w:val="es-CO"/>
        </w:rPr>
        <w:tab/>
      </w:r>
      <w:r w:rsidR="00E1132D" w:rsidRPr="00E1132D">
        <w:rPr>
          <w:rFonts w:ascii="Arial Narrow" w:hAnsi="Arial Narrow" w:cs="Arial"/>
          <w:bCs/>
          <w:color w:val="000000" w:themeColor="text1"/>
          <w:sz w:val="24"/>
          <w:szCs w:val="24"/>
          <w:lang w:val="es-CO"/>
        </w:rPr>
        <w:t>Vigilancia y Control del Cumplimiento de las Normas de Transporte y Tránsito</w:t>
      </w:r>
    </w:p>
    <w:p w14:paraId="2106CCF6" w14:textId="75443861" w:rsidR="005B4105" w:rsidRPr="00E1132D" w:rsidRDefault="005B4105" w:rsidP="007A1414">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1CF1CDAA" w14:textId="77777777" w:rsidR="005B4105" w:rsidRPr="00E1132D" w:rsidRDefault="005B4105" w:rsidP="007A1414">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036BB380" w14:textId="48BEB8A4" w:rsidR="005B4105" w:rsidRPr="00E1132D" w:rsidRDefault="00D75E9F" w:rsidP="007A1414">
      <w:pPr>
        <w:pStyle w:val="Sinespaciado"/>
        <w:numPr>
          <w:ilvl w:val="0"/>
          <w:numId w:val="1"/>
        </w:numPr>
        <w:tabs>
          <w:tab w:val="left" w:pos="284"/>
        </w:tabs>
        <w:ind w:left="0" w:firstLine="0"/>
        <w:contextualSpacing/>
        <w:jc w:val="both"/>
        <w:rPr>
          <w:rFonts w:ascii="Arial Narrow" w:hAnsi="Arial Narrow" w:cs="Arial"/>
          <w:b/>
          <w:color w:val="000000" w:themeColor="text1"/>
          <w:sz w:val="24"/>
          <w:szCs w:val="24"/>
        </w:rPr>
      </w:pPr>
      <w:bookmarkStart w:id="0" w:name="_Hlk55828726"/>
      <w:r>
        <w:rPr>
          <w:rFonts w:ascii="Arial Narrow" w:hAnsi="Arial Narrow" w:cs="Arial"/>
          <w:b/>
          <w:color w:val="000000" w:themeColor="text1"/>
          <w:sz w:val="24"/>
          <w:szCs w:val="24"/>
        </w:rPr>
        <w:t>Instrucciones</w:t>
      </w:r>
    </w:p>
    <w:p w14:paraId="55D1E694" w14:textId="77777777" w:rsidR="005B4105" w:rsidRPr="00E1132D" w:rsidRDefault="005B4105" w:rsidP="007A1414">
      <w:pPr>
        <w:pStyle w:val="Sinespaciado"/>
        <w:tabs>
          <w:tab w:val="left" w:pos="284"/>
        </w:tabs>
        <w:contextualSpacing/>
        <w:jc w:val="both"/>
        <w:rPr>
          <w:rFonts w:ascii="Arial Narrow" w:hAnsi="Arial Narrow" w:cs="Arial"/>
          <w:b/>
          <w:color w:val="000000" w:themeColor="text1"/>
          <w:sz w:val="24"/>
          <w:szCs w:val="24"/>
        </w:rPr>
      </w:pPr>
    </w:p>
    <w:p w14:paraId="708794A1" w14:textId="02F3AF69" w:rsidR="005B4105" w:rsidRPr="00E1132D" w:rsidRDefault="00E1132D" w:rsidP="007A1414">
      <w:pPr>
        <w:pStyle w:val="Sinespaciado"/>
        <w:numPr>
          <w:ilvl w:val="1"/>
          <w:numId w:val="1"/>
        </w:numPr>
        <w:tabs>
          <w:tab w:val="left" w:pos="284"/>
        </w:tabs>
        <w:ind w:left="0" w:firstLine="0"/>
        <w:contextualSpacing/>
        <w:jc w:val="both"/>
        <w:rPr>
          <w:rFonts w:ascii="Arial Narrow" w:hAnsi="Arial Narrow" w:cs="Arial"/>
          <w:bCs/>
          <w:sz w:val="24"/>
          <w:szCs w:val="24"/>
        </w:rPr>
      </w:pPr>
      <w:r>
        <w:rPr>
          <w:rFonts w:ascii="Arial Narrow" w:hAnsi="Arial Narrow" w:cs="Arial"/>
          <w:bCs/>
          <w:color w:val="000000" w:themeColor="text1"/>
          <w:sz w:val="24"/>
          <w:szCs w:val="24"/>
        </w:rPr>
        <w:t>A</w:t>
      </w:r>
      <w:r w:rsidR="005B5D59" w:rsidRPr="00E1132D">
        <w:rPr>
          <w:rFonts w:ascii="Arial Narrow" w:hAnsi="Arial Narrow" w:cs="Arial"/>
          <w:bCs/>
          <w:color w:val="000000" w:themeColor="text1"/>
          <w:sz w:val="24"/>
          <w:szCs w:val="24"/>
        </w:rPr>
        <w:t xml:space="preserve">ctualizar </w:t>
      </w:r>
      <w:r w:rsidRPr="00E1132D">
        <w:rPr>
          <w:rFonts w:ascii="Arial Narrow" w:hAnsi="Arial Narrow" w:cs="Arial"/>
          <w:bCs/>
          <w:color w:val="000000" w:themeColor="text1"/>
          <w:sz w:val="24"/>
          <w:szCs w:val="24"/>
        </w:rPr>
        <w:t xml:space="preserve">para el año 2021 el “Plan Estratégico </w:t>
      </w:r>
      <w:r w:rsidRPr="00E1132D">
        <w:rPr>
          <w:rFonts w:ascii="Arial Narrow" w:hAnsi="Arial Narrow" w:cs="Arial"/>
          <w:bCs/>
          <w:sz w:val="24"/>
          <w:szCs w:val="24"/>
        </w:rPr>
        <w:t>de Vigilancia y Control del Cumplimiento de las Normas de Transporte y Tránsito”</w:t>
      </w:r>
      <w:r w:rsidR="005B5D59" w:rsidRPr="00E1132D">
        <w:rPr>
          <w:rFonts w:ascii="Arial Narrow" w:hAnsi="Arial Narrow" w:cs="Arial"/>
          <w:bCs/>
          <w:sz w:val="24"/>
          <w:szCs w:val="24"/>
        </w:rPr>
        <w:t>, en los términos exigidos por la legislación nacional, especialmente en la resolución 3443 de 2016 del Ministerio de Transporte</w:t>
      </w:r>
      <w:r>
        <w:rPr>
          <w:rFonts w:ascii="Arial Narrow" w:hAnsi="Arial Narrow" w:cs="Arial"/>
          <w:bCs/>
          <w:sz w:val="24"/>
          <w:szCs w:val="24"/>
        </w:rPr>
        <w:t>.</w:t>
      </w:r>
    </w:p>
    <w:p w14:paraId="3703EFF9" w14:textId="77777777" w:rsidR="00C30D0A" w:rsidRPr="00C30D0A" w:rsidRDefault="00C30D0A" w:rsidP="007A1414">
      <w:pPr>
        <w:pStyle w:val="Sinespaciado"/>
        <w:tabs>
          <w:tab w:val="left" w:pos="284"/>
        </w:tabs>
        <w:contextualSpacing/>
        <w:jc w:val="both"/>
        <w:rPr>
          <w:rFonts w:ascii="Arial Narrow" w:hAnsi="Arial Narrow" w:cs="Arial"/>
          <w:bCs/>
          <w:sz w:val="24"/>
          <w:szCs w:val="24"/>
        </w:rPr>
      </w:pPr>
    </w:p>
    <w:p w14:paraId="35BC6E60" w14:textId="037E0EE8" w:rsidR="00C91E89" w:rsidRDefault="00D75E9F" w:rsidP="007A1414">
      <w:pPr>
        <w:pStyle w:val="Sinespaciado"/>
        <w:numPr>
          <w:ilvl w:val="1"/>
          <w:numId w:val="1"/>
        </w:numPr>
        <w:tabs>
          <w:tab w:val="left" w:pos="284"/>
        </w:tabs>
        <w:ind w:left="0" w:firstLine="0"/>
        <w:contextualSpacing/>
        <w:jc w:val="both"/>
        <w:rPr>
          <w:rFonts w:ascii="Arial Narrow" w:hAnsi="Arial Narrow" w:cs="Arial"/>
          <w:bCs/>
          <w:sz w:val="24"/>
          <w:szCs w:val="24"/>
        </w:rPr>
      </w:pPr>
      <w:r>
        <w:rPr>
          <w:rFonts w:ascii="Arial Narrow" w:hAnsi="Arial Narrow" w:cs="Arial"/>
          <w:bCs/>
          <w:sz w:val="24"/>
          <w:szCs w:val="24"/>
        </w:rPr>
        <w:t>Aplicar las sanciones que sean procedentes del régimen de tránsito terrestre, así como</w:t>
      </w:r>
      <w:r w:rsidR="00CB1CE8">
        <w:rPr>
          <w:rFonts w:ascii="Arial Narrow" w:hAnsi="Arial Narrow" w:cs="Arial"/>
          <w:bCs/>
          <w:sz w:val="24"/>
          <w:szCs w:val="24"/>
        </w:rPr>
        <w:t xml:space="preserve"> también</w:t>
      </w:r>
      <w:r>
        <w:rPr>
          <w:rFonts w:ascii="Arial Narrow" w:hAnsi="Arial Narrow" w:cs="Arial"/>
          <w:bCs/>
          <w:sz w:val="24"/>
          <w:szCs w:val="24"/>
        </w:rPr>
        <w:t xml:space="preserve"> las de transporte terrestre</w:t>
      </w:r>
      <w:r w:rsidR="00CB1CE8">
        <w:rPr>
          <w:rFonts w:ascii="Arial Narrow" w:hAnsi="Arial Narrow" w:cs="Arial"/>
          <w:bCs/>
          <w:sz w:val="24"/>
          <w:szCs w:val="24"/>
        </w:rPr>
        <w:t xml:space="preserve"> de pasajeros</w:t>
      </w:r>
      <w:r>
        <w:rPr>
          <w:rFonts w:ascii="Arial Narrow" w:hAnsi="Arial Narrow" w:cs="Arial"/>
          <w:bCs/>
          <w:sz w:val="24"/>
          <w:szCs w:val="24"/>
        </w:rPr>
        <w:t>, cuando se identifiquen conductas</w:t>
      </w:r>
      <w:r w:rsidR="00957E96">
        <w:rPr>
          <w:rFonts w:ascii="Arial Narrow" w:hAnsi="Arial Narrow" w:cs="Arial"/>
          <w:bCs/>
          <w:sz w:val="24"/>
          <w:szCs w:val="24"/>
        </w:rPr>
        <w:t xml:space="preserve"> que</w:t>
      </w:r>
      <w:r>
        <w:rPr>
          <w:rFonts w:ascii="Arial Narrow" w:hAnsi="Arial Narrow" w:cs="Arial"/>
          <w:bCs/>
          <w:sz w:val="24"/>
          <w:szCs w:val="24"/>
        </w:rPr>
        <w:t xml:space="preserve"> infrinjan los dos regímenes.  </w:t>
      </w:r>
    </w:p>
    <w:p w14:paraId="7D0C5C8E" w14:textId="77777777" w:rsidR="00C91E89" w:rsidRDefault="00C91E89" w:rsidP="007A1414">
      <w:pPr>
        <w:pStyle w:val="Sinespaciado"/>
        <w:tabs>
          <w:tab w:val="left" w:pos="284"/>
        </w:tabs>
        <w:contextualSpacing/>
        <w:jc w:val="both"/>
        <w:rPr>
          <w:rFonts w:ascii="Arial Narrow" w:hAnsi="Arial Narrow" w:cs="Arial"/>
          <w:bCs/>
          <w:sz w:val="24"/>
          <w:szCs w:val="24"/>
        </w:rPr>
      </w:pPr>
    </w:p>
    <w:p w14:paraId="7A1978AD" w14:textId="50418E57" w:rsidR="00C30D0A" w:rsidRDefault="00D75E9F" w:rsidP="007A1414">
      <w:pPr>
        <w:pStyle w:val="Sinespaciado"/>
        <w:tabs>
          <w:tab w:val="left" w:pos="284"/>
        </w:tabs>
        <w:contextualSpacing/>
        <w:jc w:val="both"/>
        <w:rPr>
          <w:rFonts w:ascii="Arial Narrow" w:hAnsi="Arial Narrow" w:cs="Arial"/>
          <w:bCs/>
          <w:sz w:val="24"/>
          <w:szCs w:val="24"/>
        </w:rPr>
      </w:pPr>
      <w:r>
        <w:rPr>
          <w:rFonts w:ascii="Arial Narrow" w:hAnsi="Arial Narrow" w:cs="Arial"/>
          <w:bCs/>
          <w:sz w:val="24"/>
          <w:szCs w:val="24"/>
        </w:rPr>
        <w:t xml:space="preserve">Lo anterior, especialmente respecto de la </w:t>
      </w:r>
      <w:r w:rsidR="00C91E89">
        <w:rPr>
          <w:rFonts w:ascii="Arial Narrow" w:hAnsi="Arial Narrow" w:cs="Arial"/>
          <w:bCs/>
          <w:sz w:val="24"/>
          <w:szCs w:val="24"/>
        </w:rPr>
        <w:t xml:space="preserve">conducción de vehículos de servicio particular para </w:t>
      </w:r>
      <w:r w:rsidR="00C3261C">
        <w:rPr>
          <w:rFonts w:ascii="Arial Narrow" w:hAnsi="Arial Narrow" w:cs="Arial"/>
          <w:bCs/>
          <w:sz w:val="24"/>
          <w:szCs w:val="24"/>
        </w:rPr>
        <w:t>realizar</w:t>
      </w:r>
      <w:r w:rsidR="00C91E89" w:rsidRPr="00C91E89">
        <w:rPr>
          <w:rFonts w:ascii="Arial Narrow" w:hAnsi="Arial Narrow" w:cs="Arial"/>
          <w:bCs/>
          <w:sz w:val="24"/>
          <w:szCs w:val="24"/>
        </w:rPr>
        <w:t xml:space="preserve"> un servicio diferente de aquel para el cual tiene licencia de tránsito</w:t>
      </w:r>
      <w:r w:rsidR="00C91E89">
        <w:rPr>
          <w:rFonts w:ascii="Arial Narrow" w:hAnsi="Arial Narrow" w:cs="Arial"/>
          <w:bCs/>
          <w:sz w:val="24"/>
          <w:szCs w:val="24"/>
        </w:rPr>
        <w:t xml:space="preserve">, como ocurre cuando se destinan para </w:t>
      </w:r>
      <w:r w:rsidR="003D33C0">
        <w:rPr>
          <w:rFonts w:ascii="Arial Narrow" w:hAnsi="Arial Narrow" w:cs="Arial"/>
          <w:bCs/>
          <w:sz w:val="24"/>
          <w:szCs w:val="24"/>
        </w:rPr>
        <w:t>realizar operaciones de transporte</w:t>
      </w:r>
      <w:r w:rsidR="00C91E89">
        <w:rPr>
          <w:rFonts w:ascii="Arial Narrow" w:hAnsi="Arial Narrow" w:cs="Arial"/>
          <w:bCs/>
          <w:sz w:val="24"/>
          <w:szCs w:val="24"/>
        </w:rPr>
        <w:t xml:space="preserve"> público.</w:t>
      </w:r>
    </w:p>
    <w:bookmarkEnd w:id="0"/>
    <w:p w14:paraId="583359B1" w14:textId="4504AE9F" w:rsidR="00C3261C" w:rsidRDefault="00C3261C" w:rsidP="007A1414">
      <w:pPr>
        <w:pStyle w:val="Sinespaciado"/>
        <w:tabs>
          <w:tab w:val="left" w:pos="284"/>
        </w:tabs>
        <w:contextualSpacing/>
        <w:jc w:val="both"/>
        <w:rPr>
          <w:rFonts w:ascii="Arial Narrow" w:hAnsi="Arial Narrow" w:cs="Arial"/>
          <w:bCs/>
          <w:sz w:val="24"/>
          <w:szCs w:val="24"/>
        </w:rPr>
      </w:pPr>
    </w:p>
    <w:p w14:paraId="14D6867A" w14:textId="5B5C048D" w:rsidR="005B4105" w:rsidRDefault="005B4105" w:rsidP="007A1414">
      <w:pPr>
        <w:pStyle w:val="Sinespaciado"/>
        <w:numPr>
          <w:ilvl w:val="0"/>
          <w:numId w:val="1"/>
        </w:numPr>
        <w:tabs>
          <w:tab w:val="left" w:pos="284"/>
        </w:tabs>
        <w:ind w:left="0" w:firstLine="0"/>
        <w:contextualSpacing/>
        <w:jc w:val="both"/>
        <w:rPr>
          <w:rFonts w:ascii="Arial Narrow" w:hAnsi="Arial Narrow" w:cs="Arial"/>
          <w:b/>
          <w:sz w:val="24"/>
          <w:szCs w:val="24"/>
        </w:rPr>
      </w:pPr>
      <w:r w:rsidRPr="002D1BB0">
        <w:rPr>
          <w:rFonts w:ascii="Arial Narrow" w:hAnsi="Arial Narrow" w:cs="Arial"/>
          <w:b/>
          <w:sz w:val="24"/>
          <w:szCs w:val="24"/>
        </w:rPr>
        <w:t xml:space="preserve">Fundamentos de las </w:t>
      </w:r>
      <w:r w:rsidR="00D75E9F">
        <w:rPr>
          <w:rFonts w:ascii="Arial Narrow" w:hAnsi="Arial Narrow" w:cs="Arial"/>
          <w:b/>
          <w:sz w:val="24"/>
          <w:szCs w:val="24"/>
        </w:rPr>
        <w:t>instrucciones</w:t>
      </w:r>
    </w:p>
    <w:p w14:paraId="742781CA" w14:textId="77777777" w:rsidR="00C3261C" w:rsidRPr="002D1BB0" w:rsidRDefault="00C3261C" w:rsidP="007A1414">
      <w:pPr>
        <w:pStyle w:val="Sinespaciado"/>
        <w:tabs>
          <w:tab w:val="left" w:pos="284"/>
        </w:tabs>
        <w:contextualSpacing/>
        <w:jc w:val="both"/>
        <w:rPr>
          <w:rFonts w:ascii="Arial Narrow" w:hAnsi="Arial Narrow" w:cs="Arial"/>
          <w:b/>
          <w:sz w:val="24"/>
          <w:szCs w:val="24"/>
        </w:rPr>
      </w:pPr>
    </w:p>
    <w:p w14:paraId="467903DE" w14:textId="77777777" w:rsidR="005B4105" w:rsidRPr="002D1BB0" w:rsidRDefault="005B4105" w:rsidP="007A1414">
      <w:pPr>
        <w:pStyle w:val="Sinespaciado"/>
        <w:numPr>
          <w:ilvl w:val="1"/>
          <w:numId w:val="1"/>
        </w:numPr>
        <w:tabs>
          <w:tab w:val="left" w:pos="284"/>
        </w:tabs>
        <w:ind w:left="0" w:firstLine="0"/>
        <w:contextualSpacing/>
        <w:jc w:val="both"/>
        <w:rPr>
          <w:rFonts w:ascii="Arial Narrow" w:hAnsi="Arial Narrow" w:cs="Arial"/>
          <w:sz w:val="24"/>
          <w:szCs w:val="24"/>
          <w:u w:val="single"/>
        </w:rPr>
      </w:pPr>
      <w:r w:rsidRPr="002D1BB0">
        <w:rPr>
          <w:rFonts w:ascii="Arial Narrow" w:hAnsi="Arial Narrow" w:cs="Arial"/>
          <w:sz w:val="24"/>
          <w:szCs w:val="24"/>
          <w:u w:val="single"/>
        </w:rPr>
        <w:t>Competencia de Superintendencia de Transporte</w:t>
      </w:r>
    </w:p>
    <w:p w14:paraId="2B9631E4" w14:textId="77777777" w:rsidR="005B4105" w:rsidRPr="002D1BB0" w:rsidRDefault="005B4105" w:rsidP="007A1414">
      <w:pPr>
        <w:pStyle w:val="Sinespaciado"/>
        <w:tabs>
          <w:tab w:val="left" w:pos="284"/>
        </w:tabs>
        <w:contextualSpacing/>
        <w:jc w:val="both"/>
        <w:rPr>
          <w:rFonts w:ascii="Arial Narrow" w:hAnsi="Arial Narrow" w:cs="Arial"/>
          <w:sz w:val="24"/>
          <w:szCs w:val="24"/>
        </w:rPr>
      </w:pPr>
    </w:p>
    <w:p w14:paraId="3C04D44A" w14:textId="2F068B1C" w:rsidR="005B4105" w:rsidRPr="002D1BB0" w:rsidRDefault="005B4105" w:rsidP="007A1414">
      <w:pPr>
        <w:pStyle w:val="Sinespaciado"/>
        <w:tabs>
          <w:tab w:val="left" w:pos="284"/>
        </w:tabs>
        <w:contextualSpacing/>
        <w:jc w:val="both"/>
        <w:rPr>
          <w:rFonts w:ascii="Arial Narrow" w:hAnsi="Arial Narrow" w:cs="Arial"/>
          <w:sz w:val="24"/>
          <w:szCs w:val="24"/>
        </w:rPr>
      </w:pPr>
      <w:r w:rsidRPr="002D1BB0">
        <w:rPr>
          <w:rFonts w:ascii="Arial Narrow" w:hAnsi="Arial Narrow" w:cs="Arial"/>
          <w:sz w:val="24"/>
          <w:szCs w:val="24"/>
        </w:rPr>
        <w:t>La Superintendencia de Transporte es un organismo descentralizado del orden nacional, de carácter técnico, con personería jurídica, autonomía administrativa, financiera y presupuestal, adscrita al Ministerio de Transporte</w:t>
      </w:r>
      <w:r w:rsidR="00FE1732">
        <w:rPr>
          <w:rFonts w:ascii="Arial Narrow" w:hAnsi="Arial Narrow" w:cs="Arial"/>
          <w:sz w:val="24"/>
          <w:szCs w:val="24"/>
        </w:rPr>
        <w:t>.</w:t>
      </w:r>
      <w:r w:rsidRPr="002D1BB0">
        <w:rPr>
          <w:rStyle w:val="Refdenotaalpie"/>
          <w:rFonts w:ascii="Arial Narrow" w:hAnsi="Arial Narrow" w:cs="Arial"/>
          <w:sz w:val="24"/>
          <w:szCs w:val="24"/>
        </w:rPr>
        <w:footnoteReference w:id="1"/>
      </w:r>
    </w:p>
    <w:p w14:paraId="2050FA45" w14:textId="77777777" w:rsidR="005B4105" w:rsidRPr="002D1BB0" w:rsidRDefault="005B4105" w:rsidP="007A1414">
      <w:pPr>
        <w:pStyle w:val="Sinespaciado"/>
        <w:tabs>
          <w:tab w:val="left" w:pos="284"/>
        </w:tabs>
        <w:contextualSpacing/>
        <w:jc w:val="both"/>
        <w:rPr>
          <w:rFonts w:ascii="Arial Narrow" w:hAnsi="Arial Narrow" w:cs="Arial"/>
          <w:sz w:val="24"/>
          <w:szCs w:val="24"/>
        </w:rPr>
      </w:pPr>
    </w:p>
    <w:p w14:paraId="5D9DE54F" w14:textId="6A01259A" w:rsidR="005B4105" w:rsidRDefault="005B4105" w:rsidP="007A1414">
      <w:pPr>
        <w:pStyle w:val="Sinespaciado"/>
        <w:tabs>
          <w:tab w:val="left" w:pos="284"/>
        </w:tabs>
        <w:contextualSpacing/>
        <w:jc w:val="both"/>
        <w:rPr>
          <w:rFonts w:ascii="Arial Narrow" w:hAnsi="Arial Narrow" w:cs="Arial"/>
          <w:sz w:val="24"/>
          <w:szCs w:val="24"/>
        </w:rPr>
      </w:pPr>
      <w:r w:rsidRPr="002D1BB0">
        <w:rPr>
          <w:rFonts w:ascii="Arial Narrow" w:hAnsi="Arial Narrow" w:cs="Arial"/>
          <w:sz w:val="24"/>
          <w:szCs w:val="24"/>
        </w:rPr>
        <w:t xml:space="preserve">Para el cumplimiento </w:t>
      </w:r>
      <w:r w:rsidR="006C2F41">
        <w:rPr>
          <w:rFonts w:ascii="Arial Narrow" w:hAnsi="Arial Narrow" w:cs="Arial"/>
          <w:sz w:val="24"/>
          <w:szCs w:val="24"/>
        </w:rPr>
        <w:t>de las funciones de</w:t>
      </w:r>
      <w:r w:rsidRPr="002D1BB0">
        <w:rPr>
          <w:rFonts w:ascii="Arial Narrow" w:hAnsi="Arial Narrow" w:cs="Arial"/>
          <w:sz w:val="24"/>
          <w:szCs w:val="24"/>
        </w:rPr>
        <w:t xml:space="preserve"> la entidad, </w:t>
      </w:r>
      <w:r w:rsidR="006C2F41">
        <w:rPr>
          <w:rFonts w:ascii="Arial Narrow" w:hAnsi="Arial Narrow" w:cs="Arial"/>
          <w:sz w:val="24"/>
          <w:szCs w:val="24"/>
        </w:rPr>
        <w:t>correspondientes al ejercicio de la</w:t>
      </w:r>
      <w:r w:rsidRPr="002D1BB0">
        <w:rPr>
          <w:rFonts w:ascii="Arial Narrow" w:hAnsi="Arial Narrow" w:cs="Arial"/>
          <w:sz w:val="24"/>
          <w:szCs w:val="24"/>
        </w:rPr>
        <w:t xml:space="preserve"> vigilancia, inspección, y control que le corresponden al Presidente de la República como suprema autoridad administrativa en materia de tránsito, transporte e infraestructura</w:t>
      </w:r>
      <w:r w:rsidR="00FE1732">
        <w:rPr>
          <w:rFonts w:ascii="Arial Narrow" w:hAnsi="Arial Narrow" w:cs="Arial"/>
          <w:sz w:val="24"/>
          <w:szCs w:val="24"/>
        </w:rPr>
        <w:t>,</w:t>
      </w:r>
      <w:r w:rsidRPr="002D1BB0">
        <w:rPr>
          <w:rStyle w:val="Refdenotaalpie"/>
          <w:rFonts w:ascii="Arial Narrow" w:hAnsi="Arial Narrow" w:cs="Arial"/>
          <w:sz w:val="24"/>
          <w:szCs w:val="24"/>
        </w:rPr>
        <w:footnoteReference w:id="2"/>
      </w:r>
      <w:r w:rsidRPr="002D1BB0">
        <w:rPr>
          <w:rFonts w:ascii="Arial Narrow" w:hAnsi="Arial Narrow" w:cs="Arial"/>
          <w:sz w:val="24"/>
          <w:szCs w:val="24"/>
        </w:rPr>
        <w:t xml:space="preserve"> </w:t>
      </w:r>
      <w:r w:rsidR="00FE1732">
        <w:rPr>
          <w:rFonts w:ascii="Arial Narrow" w:hAnsi="Arial Narrow" w:cs="Arial"/>
          <w:sz w:val="24"/>
          <w:szCs w:val="24"/>
        </w:rPr>
        <w:t>el H. Consejo de Estado ha precisado que se pueden impartir instrucciones</w:t>
      </w:r>
      <w:r w:rsidRPr="002D1BB0">
        <w:rPr>
          <w:rFonts w:ascii="Arial Narrow" w:hAnsi="Arial Narrow" w:cs="Arial"/>
          <w:sz w:val="24"/>
          <w:szCs w:val="24"/>
        </w:rPr>
        <w:t xml:space="preserve"> dirigidas a los sujetos supervisados con el fin </w:t>
      </w:r>
      <w:r w:rsidR="006C2F41">
        <w:rPr>
          <w:rFonts w:ascii="Arial Narrow" w:hAnsi="Arial Narrow" w:cs="Arial"/>
          <w:sz w:val="24"/>
          <w:szCs w:val="24"/>
        </w:rPr>
        <w:t xml:space="preserve">de </w:t>
      </w:r>
      <w:r w:rsidR="006C2F41" w:rsidRPr="006C2F41">
        <w:rPr>
          <w:rFonts w:ascii="Arial Narrow" w:hAnsi="Arial Narrow" w:cs="Arial"/>
          <w:sz w:val="24"/>
          <w:szCs w:val="24"/>
        </w:rPr>
        <w:t xml:space="preserve">(i) </w:t>
      </w:r>
      <w:r w:rsidR="006C2F41">
        <w:rPr>
          <w:rFonts w:ascii="Arial Narrow" w:hAnsi="Arial Narrow" w:cs="Arial"/>
          <w:sz w:val="24"/>
          <w:szCs w:val="24"/>
        </w:rPr>
        <w:t>instruirlos</w:t>
      </w:r>
      <w:r w:rsidR="006C2F41" w:rsidRPr="006C2F41">
        <w:rPr>
          <w:rFonts w:ascii="Arial Narrow" w:hAnsi="Arial Narrow" w:cs="Arial"/>
          <w:sz w:val="24"/>
          <w:szCs w:val="24"/>
        </w:rPr>
        <w:t xml:space="preserve"> sobre cómo deben cumplir sus obligaciones legales</w:t>
      </w:r>
      <w:r w:rsidR="006C2F41">
        <w:rPr>
          <w:rFonts w:ascii="Arial Narrow" w:hAnsi="Arial Narrow" w:cs="Arial"/>
          <w:sz w:val="24"/>
          <w:szCs w:val="24"/>
        </w:rPr>
        <w:t xml:space="preserve"> y reglamentarias</w:t>
      </w:r>
      <w:r w:rsidR="006C2F41" w:rsidRPr="006C2F41">
        <w:rPr>
          <w:rFonts w:ascii="Arial Narrow" w:hAnsi="Arial Narrow" w:cs="Arial"/>
          <w:sz w:val="24"/>
          <w:szCs w:val="24"/>
        </w:rPr>
        <w:t xml:space="preserve">, </w:t>
      </w:r>
      <w:r w:rsidR="006C2F41">
        <w:rPr>
          <w:rFonts w:ascii="Arial Narrow" w:hAnsi="Arial Narrow" w:cs="Arial"/>
          <w:sz w:val="24"/>
          <w:szCs w:val="24"/>
        </w:rPr>
        <w:t>o</w:t>
      </w:r>
      <w:r w:rsidR="006C2F41" w:rsidRPr="006C2F41">
        <w:rPr>
          <w:rFonts w:ascii="Arial Narrow" w:hAnsi="Arial Narrow" w:cs="Arial"/>
          <w:sz w:val="24"/>
          <w:szCs w:val="24"/>
        </w:rPr>
        <w:t xml:space="preserve"> (ii) </w:t>
      </w:r>
      <w:r w:rsidR="006C2F41">
        <w:rPr>
          <w:rFonts w:ascii="Arial Narrow" w:hAnsi="Arial Narrow" w:cs="Arial"/>
          <w:sz w:val="24"/>
          <w:szCs w:val="24"/>
        </w:rPr>
        <w:t>imponer</w:t>
      </w:r>
      <w:r w:rsidR="006C2F41" w:rsidRPr="006C2F41">
        <w:rPr>
          <w:rFonts w:ascii="Arial Narrow" w:hAnsi="Arial Narrow" w:cs="Arial"/>
          <w:sz w:val="24"/>
          <w:szCs w:val="24"/>
        </w:rPr>
        <w:t xml:space="preserve"> mecanismos de vigilancia eficientes</w:t>
      </w:r>
      <w:r w:rsidR="00FE1732">
        <w:rPr>
          <w:rFonts w:ascii="Arial Narrow" w:hAnsi="Arial Narrow" w:cs="Arial"/>
          <w:sz w:val="24"/>
          <w:szCs w:val="24"/>
        </w:rPr>
        <w:t>.</w:t>
      </w:r>
      <w:r w:rsidRPr="002D1BB0">
        <w:rPr>
          <w:rStyle w:val="Refdenotaalpie"/>
          <w:rFonts w:ascii="Arial Narrow" w:hAnsi="Arial Narrow" w:cs="Arial"/>
          <w:bCs/>
          <w:color w:val="000000" w:themeColor="text1"/>
          <w:sz w:val="24"/>
          <w:szCs w:val="24"/>
        </w:rPr>
        <w:footnoteReference w:id="3"/>
      </w:r>
    </w:p>
    <w:p w14:paraId="490C666D" w14:textId="7F1E5D2F" w:rsidR="00FE1732" w:rsidRDefault="00FE1732" w:rsidP="007A1414">
      <w:pPr>
        <w:pStyle w:val="Sinespaciado"/>
        <w:tabs>
          <w:tab w:val="left" w:pos="284"/>
        </w:tabs>
        <w:contextualSpacing/>
        <w:jc w:val="both"/>
        <w:rPr>
          <w:rFonts w:ascii="Arial Narrow" w:hAnsi="Arial Narrow" w:cs="Arial"/>
          <w:sz w:val="24"/>
          <w:szCs w:val="24"/>
        </w:rPr>
      </w:pPr>
    </w:p>
    <w:p w14:paraId="4AE9C909" w14:textId="59D99CC8" w:rsidR="00FE1732" w:rsidRDefault="00FE1732" w:rsidP="007A1414">
      <w:pPr>
        <w:pStyle w:val="Sinespaciado"/>
        <w:tabs>
          <w:tab w:val="left" w:pos="284"/>
        </w:tabs>
        <w:contextualSpacing/>
        <w:jc w:val="both"/>
        <w:rPr>
          <w:rFonts w:ascii="Arial Narrow" w:hAnsi="Arial Narrow" w:cs="Arial"/>
          <w:color w:val="000000" w:themeColor="text1"/>
        </w:rPr>
      </w:pPr>
      <w:r>
        <w:rPr>
          <w:rFonts w:ascii="Arial Narrow" w:hAnsi="Arial Narrow" w:cs="Arial"/>
          <w:sz w:val="24"/>
          <w:szCs w:val="24"/>
        </w:rPr>
        <w:t xml:space="preserve">En ese sentido, las </w:t>
      </w:r>
      <w:r>
        <w:rPr>
          <w:rFonts w:ascii="Arial Narrow" w:hAnsi="Arial Narrow" w:cs="Arial"/>
        </w:rPr>
        <w:t>Autoridades de Tránsito, Organismos de Tránsito y las E</w:t>
      </w:r>
      <w:r w:rsidRPr="00C30D0A">
        <w:rPr>
          <w:rFonts w:ascii="Arial Narrow" w:hAnsi="Arial Narrow" w:cs="Arial"/>
        </w:rPr>
        <w:t xml:space="preserve">ntidades del Sistema Nacional de </w:t>
      </w:r>
      <w:r w:rsidRPr="00E1132D">
        <w:rPr>
          <w:rFonts w:ascii="Arial Narrow" w:hAnsi="Arial Narrow" w:cs="Arial"/>
          <w:color w:val="000000" w:themeColor="text1"/>
        </w:rPr>
        <w:t>Transporte</w:t>
      </w:r>
      <w:r>
        <w:rPr>
          <w:rFonts w:ascii="Arial Narrow" w:hAnsi="Arial Narrow" w:cs="Arial"/>
          <w:color w:val="000000" w:themeColor="text1"/>
        </w:rPr>
        <w:t xml:space="preserve"> son sujetos supervisados por esta Superintendencia, de conformidad con las siguientes disposiciones normativas:</w:t>
      </w:r>
    </w:p>
    <w:p w14:paraId="0C609ABF" w14:textId="711D4F0D" w:rsidR="00FE1732" w:rsidRDefault="00FE1732" w:rsidP="007A1414">
      <w:pPr>
        <w:pStyle w:val="Sinespaciado"/>
        <w:tabs>
          <w:tab w:val="left" w:pos="284"/>
        </w:tabs>
        <w:contextualSpacing/>
        <w:jc w:val="both"/>
        <w:rPr>
          <w:rFonts w:ascii="Arial Narrow" w:hAnsi="Arial Narrow" w:cs="Arial"/>
          <w:color w:val="000000" w:themeColor="text1"/>
        </w:rPr>
      </w:pPr>
    </w:p>
    <w:p w14:paraId="0C6E925F" w14:textId="605E2FC0" w:rsidR="00FE1732" w:rsidRPr="00FE1732" w:rsidRDefault="007742AF" w:rsidP="007A1414">
      <w:pPr>
        <w:pStyle w:val="Sinespaciado"/>
        <w:numPr>
          <w:ilvl w:val="0"/>
          <w:numId w:val="4"/>
        </w:numPr>
        <w:tabs>
          <w:tab w:val="left" w:pos="284"/>
        </w:tabs>
        <w:ind w:left="360"/>
        <w:contextualSpacing/>
        <w:jc w:val="both"/>
        <w:rPr>
          <w:rFonts w:ascii="Arial Narrow" w:hAnsi="Arial Narrow" w:cs="Arial"/>
          <w:b/>
          <w:bCs/>
          <w:sz w:val="24"/>
          <w:szCs w:val="24"/>
        </w:rPr>
      </w:pPr>
      <w:r>
        <w:rPr>
          <w:rFonts w:ascii="Arial Narrow" w:hAnsi="Arial Narrow" w:cs="Arial"/>
          <w:sz w:val="24"/>
          <w:szCs w:val="24"/>
        </w:rPr>
        <w:t xml:space="preserve"> </w:t>
      </w:r>
      <w:r w:rsidR="00FE1732" w:rsidRPr="00FE1732">
        <w:rPr>
          <w:rFonts w:ascii="Arial Narrow" w:hAnsi="Arial Narrow" w:cs="Arial"/>
          <w:sz w:val="24"/>
          <w:szCs w:val="24"/>
        </w:rPr>
        <w:t>En primer</w:t>
      </w:r>
      <w:r>
        <w:rPr>
          <w:rFonts w:ascii="Arial Narrow" w:hAnsi="Arial Narrow" w:cs="Arial"/>
          <w:sz w:val="24"/>
          <w:szCs w:val="24"/>
        </w:rPr>
        <w:t xml:space="preserve"> lugar</w:t>
      </w:r>
      <w:r w:rsidR="00FE1732" w:rsidRPr="00FE1732">
        <w:rPr>
          <w:rFonts w:ascii="Arial Narrow" w:hAnsi="Arial Narrow" w:cs="Arial"/>
          <w:sz w:val="24"/>
          <w:szCs w:val="24"/>
        </w:rPr>
        <w:t xml:space="preserve">, se previó en el artículo 42 del decreto 101 de 2000 que </w:t>
      </w:r>
      <w:r w:rsidR="00FE1732" w:rsidRPr="007742AF">
        <w:rPr>
          <w:rFonts w:ascii="Arial Narrow" w:hAnsi="Arial Narrow" w:cs="Arial"/>
          <w:i/>
          <w:iCs/>
          <w:sz w:val="24"/>
          <w:szCs w:val="24"/>
        </w:rPr>
        <w:t xml:space="preserve">“[e]starán sometidas a inspección, vigilancia y control de la Supertransporte, exclusivamente para el ejercicio de la delegación prevista en los artículos 40, 41 y 44 de este decreto o en las normas que lo modifiquen, las siguientes personas naturales o jurídicas: (…) </w:t>
      </w:r>
      <w:r w:rsidR="00FE1732" w:rsidRPr="007742AF">
        <w:rPr>
          <w:rFonts w:ascii="Arial Narrow" w:hAnsi="Arial Narrow" w:cs="Arial"/>
          <w:b/>
          <w:bCs/>
          <w:i/>
          <w:iCs/>
          <w:sz w:val="24"/>
          <w:szCs w:val="24"/>
        </w:rPr>
        <w:t>2. Las entidades del Sistema Nacional de Transporte, establecidas en la ley 105 de 1993</w:t>
      </w:r>
      <w:r w:rsidR="00FE1732" w:rsidRPr="007742AF">
        <w:rPr>
          <w:rFonts w:ascii="Arial Narrow" w:hAnsi="Arial Narrow" w:cs="Arial"/>
          <w:i/>
          <w:iCs/>
          <w:sz w:val="24"/>
          <w:szCs w:val="24"/>
        </w:rPr>
        <w:t xml:space="preserve">, excepto el Ministerio de Transporte, </w:t>
      </w:r>
      <w:r w:rsidR="00FE1732" w:rsidRPr="007742AF">
        <w:rPr>
          <w:rFonts w:ascii="Arial Narrow" w:hAnsi="Arial Narrow" w:cs="Arial"/>
          <w:b/>
          <w:bCs/>
          <w:i/>
          <w:iCs/>
          <w:sz w:val="24"/>
          <w:szCs w:val="24"/>
        </w:rPr>
        <w:t xml:space="preserve">en lo relativo al ejercicio de las funciones que en materia de transporte legalmente les corresponden. </w:t>
      </w:r>
      <w:r w:rsidR="00FE1732" w:rsidRPr="007742AF">
        <w:rPr>
          <w:rFonts w:ascii="Arial Narrow" w:hAnsi="Arial Narrow" w:cs="Arial"/>
          <w:i/>
          <w:iCs/>
          <w:sz w:val="24"/>
          <w:szCs w:val="24"/>
        </w:rPr>
        <w:t>(…) 6. Las demás que determinen las normas legales”.</w:t>
      </w:r>
    </w:p>
    <w:p w14:paraId="42D7BE6B" w14:textId="01BC8B2A" w:rsidR="00FE1732" w:rsidRPr="00FE1732" w:rsidRDefault="00FE1732" w:rsidP="007A1414">
      <w:pPr>
        <w:pStyle w:val="Sinespaciado"/>
        <w:tabs>
          <w:tab w:val="left" w:pos="284"/>
        </w:tabs>
        <w:ind w:left="360"/>
        <w:contextualSpacing/>
        <w:jc w:val="both"/>
        <w:rPr>
          <w:rFonts w:ascii="Arial Narrow" w:hAnsi="Arial Narrow" w:cs="Arial"/>
          <w:b/>
          <w:bCs/>
          <w:sz w:val="24"/>
          <w:szCs w:val="24"/>
        </w:rPr>
      </w:pPr>
    </w:p>
    <w:p w14:paraId="5A9E69F4" w14:textId="7DFF986D" w:rsidR="00FE1732" w:rsidRPr="00FE1732" w:rsidRDefault="00FE1732" w:rsidP="007A1414">
      <w:pPr>
        <w:pStyle w:val="Sinespaciado"/>
        <w:tabs>
          <w:tab w:val="left" w:pos="284"/>
        </w:tabs>
        <w:ind w:left="360"/>
        <w:contextualSpacing/>
        <w:jc w:val="both"/>
        <w:rPr>
          <w:rFonts w:ascii="Arial Narrow" w:hAnsi="Arial Narrow" w:cs="Arial"/>
          <w:b/>
          <w:bCs/>
          <w:sz w:val="24"/>
          <w:szCs w:val="24"/>
        </w:rPr>
      </w:pPr>
      <w:r w:rsidRPr="00FE1732">
        <w:rPr>
          <w:rFonts w:ascii="Arial Narrow" w:hAnsi="Arial Narrow" w:cs="Arial"/>
          <w:sz w:val="24"/>
          <w:szCs w:val="24"/>
        </w:rPr>
        <w:t xml:space="preserve">A ese respecto, se previó en el artículo 1 de la ley 105 de 1993 que </w:t>
      </w:r>
      <w:r w:rsidRPr="007742AF">
        <w:rPr>
          <w:rFonts w:ascii="Arial Narrow" w:hAnsi="Arial Narrow" w:cs="Arial"/>
          <w:i/>
          <w:iCs/>
          <w:sz w:val="24"/>
          <w:szCs w:val="24"/>
        </w:rPr>
        <w:t xml:space="preserve">“[i]ntegra el sector Transporte, el Ministerio de Transporte, sus organismos adscritos o vinculados y la Dirección General Marítima del Ministerio de Defensa Nacional, en cuanto estará sujeta a una relación de coordinación con el Ministerio de Transporte. </w:t>
      </w:r>
      <w:r w:rsidRPr="007742AF">
        <w:rPr>
          <w:rFonts w:ascii="Arial Narrow" w:hAnsi="Arial Narrow" w:cs="Arial"/>
          <w:b/>
          <w:bCs/>
          <w:i/>
          <w:iCs/>
          <w:sz w:val="24"/>
          <w:szCs w:val="24"/>
        </w:rPr>
        <w:t>Conforman el Sistema Nacional de Transporte, para el desarrollo de las políticas de transporte, además de los organismos indicados en el inciso anterior, los organismos de tránsito y transporte,</w:t>
      </w:r>
      <w:r w:rsidRPr="007742AF">
        <w:rPr>
          <w:rFonts w:ascii="Arial Narrow" w:hAnsi="Arial Narrow" w:cs="Arial"/>
          <w:i/>
          <w:iCs/>
          <w:sz w:val="24"/>
          <w:szCs w:val="24"/>
        </w:rPr>
        <w:t xml:space="preserve"> tanto terrestre, aéreo y marítimo e infraestructura de transporte de las entidades territoriales </w:t>
      </w:r>
      <w:r w:rsidRPr="007742AF">
        <w:rPr>
          <w:rFonts w:ascii="Arial Narrow" w:hAnsi="Arial Narrow" w:cs="Arial"/>
          <w:b/>
          <w:bCs/>
          <w:i/>
          <w:iCs/>
          <w:sz w:val="24"/>
          <w:szCs w:val="24"/>
        </w:rPr>
        <w:t>y demás dependencias de los sectores central o descentralizado de cualquier orden que tengan funciones relacionadas con esta actividad</w:t>
      </w:r>
      <w:r w:rsidRPr="007742AF">
        <w:rPr>
          <w:rFonts w:ascii="Arial Narrow" w:hAnsi="Arial Narrow" w:cs="Arial"/>
          <w:i/>
          <w:iCs/>
          <w:sz w:val="24"/>
          <w:szCs w:val="24"/>
        </w:rPr>
        <w:t>”.</w:t>
      </w:r>
    </w:p>
    <w:p w14:paraId="583264F9" w14:textId="77777777" w:rsidR="00FE1732" w:rsidRPr="00FE1732" w:rsidRDefault="00FE1732" w:rsidP="007A1414">
      <w:pPr>
        <w:pStyle w:val="Prrafodelista"/>
        <w:spacing w:after="0" w:line="240" w:lineRule="auto"/>
        <w:ind w:left="360"/>
        <w:rPr>
          <w:rFonts w:ascii="Arial Narrow" w:hAnsi="Arial Narrow" w:cs="Arial"/>
          <w:b/>
          <w:bCs/>
          <w:sz w:val="24"/>
          <w:szCs w:val="24"/>
          <w:lang w:val="es-CO"/>
        </w:rPr>
      </w:pPr>
    </w:p>
    <w:p w14:paraId="51878CD3" w14:textId="185AB73D" w:rsidR="00FE1732" w:rsidRPr="00FE1732" w:rsidRDefault="007742AF" w:rsidP="007A1414">
      <w:pPr>
        <w:pStyle w:val="Prrafodelista"/>
        <w:numPr>
          <w:ilvl w:val="0"/>
          <w:numId w:val="4"/>
        </w:numPr>
        <w:tabs>
          <w:tab w:val="left" w:pos="284"/>
        </w:tabs>
        <w:spacing w:after="0" w:line="240" w:lineRule="auto"/>
        <w:ind w:left="360"/>
        <w:jc w:val="both"/>
        <w:rPr>
          <w:rFonts w:ascii="Arial Narrow" w:hAnsi="Arial Narrow" w:cs="Arial"/>
          <w:sz w:val="24"/>
          <w:szCs w:val="24"/>
          <w:lang w:val="es-CO"/>
        </w:rPr>
      </w:pPr>
      <w:r>
        <w:rPr>
          <w:rFonts w:ascii="Arial Narrow" w:hAnsi="Arial Narrow" w:cs="Arial"/>
          <w:sz w:val="24"/>
          <w:szCs w:val="24"/>
          <w:lang w:val="es-CO"/>
        </w:rPr>
        <w:t xml:space="preserve"> </w:t>
      </w:r>
      <w:r w:rsidR="00FE1732" w:rsidRPr="00FE1732">
        <w:rPr>
          <w:rFonts w:ascii="Arial Narrow" w:hAnsi="Arial Narrow" w:cs="Arial"/>
          <w:sz w:val="24"/>
          <w:szCs w:val="24"/>
          <w:lang w:val="es-CO"/>
        </w:rPr>
        <w:t xml:space="preserve">En </w:t>
      </w:r>
      <w:r>
        <w:rPr>
          <w:rFonts w:ascii="Arial Narrow" w:hAnsi="Arial Narrow" w:cs="Arial"/>
          <w:sz w:val="24"/>
          <w:szCs w:val="24"/>
          <w:lang w:val="es-CO"/>
        </w:rPr>
        <w:t>segundo lugar</w:t>
      </w:r>
      <w:r w:rsidR="00FE1732" w:rsidRPr="00FE1732">
        <w:rPr>
          <w:rFonts w:ascii="Arial Narrow" w:hAnsi="Arial Narrow" w:cs="Arial"/>
          <w:sz w:val="24"/>
          <w:szCs w:val="24"/>
          <w:lang w:val="es-CO"/>
        </w:rPr>
        <w:t xml:space="preserve">, se dispuso en el parágrafo 3 del artículo 3 de la ley 769 de 2002 que </w:t>
      </w:r>
      <w:r w:rsidR="00FE1732" w:rsidRPr="007742AF">
        <w:rPr>
          <w:rFonts w:ascii="Arial Narrow" w:hAnsi="Arial Narrow" w:cs="Arial"/>
          <w:i/>
          <w:iCs/>
          <w:sz w:val="24"/>
          <w:szCs w:val="24"/>
          <w:lang w:val="es-CO"/>
        </w:rPr>
        <w:t>“</w:t>
      </w:r>
      <w:r w:rsidR="00FE1732" w:rsidRPr="007742AF">
        <w:rPr>
          <w:rFonts w:ascii="Arial Narrow" w:eastAsia="Calibri" w:hAnsi="Arial Narrow" w:cs="Arial"/>
          <w:b/>
          <w:bCs/>
          <w:i/>
          <w:iCs/>
          <w:sz w:val="24"/>
          <w:szCs w:val="24"/>
          <w:lang w:val="es-CO"/>
        </w:rPr>
        <w:t>[l]as Autoridades, los organismos de tránsito,</w:t>
      </w:r>
      <w:r w:rsidR="00FE1732" w:rsidRPr="007742AF">
        <w:rPr>
          <w:rFonts w:ascii="Arial Narrow" w:eastAsia="Calibri" w:hAnsi="Arial Narrow" w:cs="Arial"/>
          <w:i/>
          <w:iCs/>
          <w:sz w:val="24"/>
          <w:szCs w:val="24"/>
          <w:lang w:val="es-CO"/>
        </w:rPr>
        <w:t xml:space="preserve"> las entidades públicas o privadas que constituyan organismos de apoyo serán vigiladas y controladas por la Superintendencia de Puertos y Transporte</w:t>
      </w:r>
      <w:r w:rsidR="00FE1732" w:rsidRPr="007742AF">
        <w:rPr>
          <w:rFonts w:ascii="Arial Narrow" w:hAnsi="Arial Narrow" w:cs="Arial"/>
          <w:i/>
          <w:iCs/>
          <w:sz w:val="24"/>
          <w:szCs w:val="24"/>
          <w:lang w:val="es-CO"/>
        </w:rPr>
        <w:t>”.</w:t>
      </w:r>
    </w:p>
    <w:p w14:paraId="75F6F174" w14:textId="77777777" w:rsidR="00FE1732" w:rsidRPr="00FE1732" w:rsidRDefault="00FE1732" w:rsidP="007A1414">
      <w:pPr>
        <w:pStyle w:val="Prrafodelista"/>
        <w:spacing w:after="0" w:line="240" w:lineRule="auto"/>
        <w:ind w:left="360"/>
        <w:rPr>
          <w:rFonts w:ascii="Arial Narrow" w:hAnsi="Arial Narrow" w:cs="Arial"/>
          <w:sz w:val="24"/>
          <w:szCs w:val="24"/>
          <w:lang w:val="es-CO"/>
        </w:rPr>
      </w:pPr>
    </w:p>
    <w:p w14:paraId="3647A7A3" w14:textId="55F91F43" w:rsidR="00FE1732" w:rsidRDefault="00FE1732" w:rsidP="007A1414">
      <w:pPr>
        <w:pStyle w:val="Prrafodelista"/>
        <w:tabs>
          <w:tab w:val="left" w:pos="284"/>
        </w:tabs>
        <w:spacing w:after="0" w:line="240" w:lineRule="auto"/>
        <w:ind w:left="360"/>
        <w:jc w:val="both"/>
        <w:rPr>
          <w:rFonts w:ascii="Arial Narrow" w:hAnsi="Arial Narrow" w:cs="Arial"/>
          <w:sz w:val="24"/>
          <w:szCs w:val="24"/>
          <w:lang w:val="es-CO"/>
        </w:rPr>
      </w:pPr>
      <w:r>
        <w:rPr>
          <w:rFonts w:ascii="Arial Narrow" w:hAnsi="Arial Narrow" w:cs="Arial"/>
          <w:sz w:val="24"/>
          <w:szCs w:val="24"/>
          <w:lang w:val="es-CO"/>
        </w:rPr>
        <w:t>Para esos efectos, se in</w:t>
      </w:r>
      <w:r w:rsidR="007742AF">
        <w:rPr>
          <w:rFonts w:ascii="Arial Narrow" w:hAnsi="Arial Narrow" w:cs="Arial"/>
          <w:sz w:val="24"/>
          <w:szCs w:val="24"/>
          <w:lang w:val="es-CO"/>
        </w:rPr>
        <w:t>cluyeron en el mismo artículo como autoridades de tránsito a l</w:t>
      </w:r>
      <w:r w:rsidR="007742AF" w:rsidRPr="007742AF">
        <w:rPr>
          <w:rFonts w:ascii="Arial Narrow" w:hAnsi="Arial Narrow" w:cs="Arial"/>
          <w:sz w:val="24"/>
          <w:szCs w:val="24"/>
          <w:lang w:val="es-CO"/>
        </w:rPr>
        <w:t>os Gobernadores</w:t>
      </w:r>
      <w:r w:rsidR="007742AF">
        <w:rPr>
          <w:rFonts w:ascii="Arial Narrow" w:hAnsi="Arial Narrow" w:cs="Arial"/>
          <w:sz w:val="24"/>
          <w:szCs w:val="24"/>
          <w:lang w:val="es-CO"/>
        </w:rPr>
        <w:t>,</w:t>
      </w:r>
      <w:r w:rsidR="007742AF" w:rsidRPr="007742AF">
        <w:rPr>
          <w:rFonts w:ascii="Arial Narrow" w:hAnsi="Arial Narrow" w:cs="Arial"/>
          <w:sz w:val="24"/>
          <w:szCs w:val="24"/>
          <w:lang w:val="es-CO"/>
        </w:rPr>
        <w:t xml:space="preserve"> los Alcaldes</w:t>
      </w:r>
      <w:r w:rsidR="007742AF">
        <w:rPr>
          <w:rFonts w:ascii="Arial Narrow" w:hAnsi="Arial Narrow" w:cs="Arial"/>
          <w:sz w:val="24"/>
          <w:szCs w:val="24"/>
          <w:lang w:val="es-CO"/>
        </w:rPr>
        <w:t>, así como a l</w:t>
      </w:r>
      <w:r w:rsidR="007742AF" w:rsidRPr="007742AF">
        <w:rPr>
          <w:rFonts w:ascii="Arial Narrow" w:hAnsi="Arial Narrow" w:cs="Arial"/>
          <w:sz w:val="24"/>
          <w:szCs w:val="24"/>
          <w:lang w:val="es-CO"/>
        </w:rPr>
        <w:t>os organismos de tránsito de carácter departamental, municipal o Distrital.</w:t>
      </w:r>
    </w:p>
    <w:p w14:paraId="513121DC" w14:textId="77777777" w:rsidR="007742AF" w:rsidRPr="00FE1732" w:rsidRDefault="007742AF" w:rsidP="007A1414">
      <w:pPr>
        <w:pStyle w:val="Prrafodelista"/>
        <w:tabs>
          <w:tab w:val="left" w:pos="284"/>
        </w:tabs>
        <w:spacing w:after="0" w:line="240" w:lineRule="auto"/>
        <w:ind w:left="360"/>
        <w:jc w:val="both"/>
        <w:rPr>
          <w:rFonts w:ascii="Arial Narrow" w:hAnsi="Arial Narrow" w:cs="Arial"/>
          <w:sz w:val="24"/>
          <w:szCs w:val="24"/>
          <w:lang w:val="es-CO"/>
        </w:rPr>
      </w:pPr>
    </w:p>
    <w:p w14:paraId="236C5BB1" w14:textId="02B5EEF8" w:rsidR="007742AF" w:rsidRPr="007742AF" w:rsidRDefault="007742AF" w:rsidP="007A1414">
      <w:pPr>
        <w:pStyle w:val="Sinespaciado"/>
        <w:numPr>
          <w:ilvl w:val="0"/>
          <w:numId w:val="4"/>
        </w:numPr>
        <w:tabs>
          <w:tab w:val="left" w:pos="284"/>
        </w:tabs>
        <w:ind w:left="360"/>
        <w:contextualSpacing/>
        <w:jc w:val="both"/>
        <w:rPr>
          <w:rFonts w:ascii="Arial Narrow" w:hAnsi="Arial Narrow" w:cs="Arial"/>
          <w:sz w:val="24"/>
          <w:szCs w:val="24"/>
        </w:rPr>
      </w:pPr>
      <w:r>
        <w:rPr>
          <w:rFonts w:ascii="Arial Narrow" w:hAnsi="Arial Narrow" w:cs="Arial"/>
          <w:sz w:val="24"/>
          <w:szCs w:val="24"/>
        </w:rPr>
        <w:t xml:space="preserve"> Por último, en el artículo 1 de la resolución 3443 de 2016 del Ministerio de Transporte se dispuso que </w:t>
      </w:r>
      <w:r w:rsidRPr="007742AF">
        <w:rPr>
          <w:rFonts w:ascii="Arial Narrow" w:hAnsi="Arial Narrow" w:cs="Arial"/>
          <w:i/>
          <w:iCs/>
          <w:sz w:val="24"/>
          <w:szCs w:val="24"/>
        </w:rPr>
        <w:t>“[t]odas las entidades del sector transporte deberán aunar esfuerzos para apoyar a las entidades que tienen a cargo el control del cumplimiento, para garantizar la eficiencia de las acciones de supervisión, inspección, control y vigilancia”</w:t>
      </w:r>
      <w:r>
        <w:rPr>
          <w:rFonts w:ascii="Arial Narrow" w:hAnsi="Arial Narrow" w:cs="Arial"/>
          <w:sz w:val="24"/>
          <w:szCs w:val="24"/>
        </w:rPr>
        <w:t xml:space="preserve">, incluyendo para esos efectos a los </w:t>
      </w:r>
      <w:r w:rsidRPr="007742AF">
        <w:rPr>
          <w:rFonts w:ascii="Arial Narrow" w:hAnsi="Arial Narrow" w:cs="Arial"/>
          <w:sz w:val="24"/>
          <w:szCs w:val="24"/>
        </w:rPr>
        <w:t>Alcaldes Municipales, Distritales, Autoridades Metropolitanas y</w:t>
      </w:r>
      <w:r>
        <w:rPr>
          <w:rFonts w:ascii="Arial Narrow" w:hAnsi="Arial Narrow" w:cs="Arial"/>
          <w:sz w:val="24"/>
          <w:szCs w:val="24"/>
        </w:rPr>
        <w:t xml:space="preserve"> </w:t>
      </w:r>
      <w:r w:rsidRPr="007742AF">
        <w:rPr>
          <w:rFonts w:ascii="Arial Narrow" w:hAnsi="Arial Narrow" w:cs="Arial"/>
          <w:sz w:val="24"/>
          <w:szCs w:val="24"/>
        </w:rPr>
        <w:t>Secretarias de Tránsito y/o de Movilidad</w:t>
      </w:r>
      <w:r>
        <w:rPr>
          <w:rFonts w:ascii="Arial Narrow" w:hAnsi="Arial Narrow" w:cs="Arial"/>
          <w:sz w:val="24"/>
          <w:szCs w:val="24"/>
        </w:rPr>
        <w:t>.</w:t>
      </w:r>
    </w:p>
    <w:p w14:paraId="4B00CA0A" w14:textId="77777777" w:rsidR="005B4105" w:rsidRPr="002D1BB0" w:rsidRDefault="005B4105" w:rsidP="007A1414">
      <w:pPr>
        <w:pStyle w:val="Sinespaciado"/>
        <w:tabs>
          <w:tab w:val="left" w:pos="284"/>
        </w:tabs>
        <w:contextualSpacing/>
        <w:jc w:val="both"/>
        <w:rPr>
          <w:rFonts w:ascii="Arial Narrow" w:hAnsi="Arial Narrow" w:cs="Arial"/>
          <w:sz w:val="24"/>
          <w:szCs w:val="24"/>
        </w:rPr>
      </w:pPr>
    </w:p>
    <w:p w14:paraId="7853B759" w14:textId="77777777" w:rsidR="005B4105" w:rsidRPr="002D1BB0" w:rsidRDefault="005B4105" w:rsidP="007A1414">
      <w:pPr>
        <w:pStyle w:val="Sinespaciado"/>
        <w:numPr>
          <w:ilvl w:val="1"/>
          <w:numId w:val="1"/>
        </w:numPr>
        <w:tabs>
          <w:tab w:val="left" w:pos="0"/>
        </w:tabs>
        <w:ind w:left="0" w:firstLine="0"/>
        <w:contextualSpacing/>
        <w:jc w:val="both"/>
        <w:rPr>
          <w:rFonts w:ascii="Arial Narrow" w:hAnsi="Arial Narrow" w:cs="Arial"/>
          <w:sz w:val="24"/>
          <w:szCs w:val="24"/>
          <w:u w:val="single"/>
        </w:rPr>
      </w:pPr>
      <w:r w:rsidRPr="002D1BB0">
        <w:rPr>
          <w:rFonts w:ascii="Arial Narrow" w:hAnsi="Arial Narrow" w:cs="Arial"/>
          <w:sz w:val="24"/>
          <w:szCs w:val="24"/>
          <w:u w:val="single"/>
        </w:rPr>
        <w:t>Objetivo y alcance</w:t>
      </w:r>
    </w:p>
    <w:p w14:paraId="3EADC9BE" w14:textId="77777777" w:rsidR="005B4105" w:rsidRPr="002D1BB0" w:rsidRDefault="005B4105" w:rsidP="007A1414">
      <w:pPr>
        <w:pStyle w:val="Sinespaciado"/>
        <w:tabs>
          <w:tab w:val="left" w:pos="284"/>
        </w:tabs>
        <w:contextualSpacing/>
        <w:jc w:val="both"/>
        <w:rPr>
          <w:rFonts w:ascii="Arial Narrow" w:hAnsi="Arial Narrow" w:cs="Arial"/>
          <w:sz w:val="24"/>
          <w:szCs w:val="24"/>
        </w:rPr>
      </w:pPr>
    </w:p>
    <w:p w14:paraId="2E5D3CE7" w14:textId="3BBD5F5B" w:rsidR="007742AF" w:rsidRDefault="007742AF" w:rsidP="007A1414">
      <w:pPr>
        <w:pStyle w:val="Sinespaciado"/>
        <w:tabs>
          <w:tab w:val="left" w:pos="284"/>
        </w:tabs>
        <w:contextualSpacing/>
        <w:jc w:val="both"/>
        <w:rPr>
          <w:rFonts w:ascii="Arial Narrow" w:hAnsi="Arial Narrow" w:cs="Arial"/>
          <w:sz w:val="24"/>
          <w:szCs w:val="24"/>
        </w:rPr>
      </w:pPr>
      <w:r>
        <w:rPr>
          <w:rFonts w:ascii="Arial Narrow" w:hAnsi="Arial Narrow" w:cs="Arial"/>
          <w:sz w:val="24"/>
          <w:szCs w:val="24"/>
        </w:rPr>
        <w:t>Las instrucciones impartidas en esta circular no crean una obligación nueva para las autoridades con funciones en materia de tránsito y transporte, sino que conmina a las mismas a dar cumplimiento a obligaciones de rango legal y reglamentario de control del marco normativo de tránsito y de transporte.</w:t>
      </w:r>
    </w:p>
    <w:p w14:paraId="6B00013E" w14:textId="7A3CA9E5" w:rsidR="007742AF" w:rsidRDefault="007742AF" w:rsidP="007A1414">
      <w:pPr>
        <w:pStyle w:val="Sinespaciado"/>
        <w:tabs>
          <w:tab w:val="left" w:pos="284"/>
        </w:tabs>
        <w:contextualSpacing/>
        <w:jc w:val="both"/>
        <w:rPr>
          <w:rFonts w:ascii="Arial Narrow" w:hAnsi="Arial Narrow" w:cs="Arial"/>
          <w:sz w:val="24"/>
          <w:szCs w:val="24"/>
        </w:rPr>
      </w:pPr>
    </w:p>
    <w:p w14:paraId="4B70326E" w14:textId="3D993198" w:rsidR="007742AF" w:rsidRDefault="007742AF" w:rsidP="007A1414">
      <w:pPr>
        <w:pStyle w:val="Sinespaciado"/>
        <w:tabs>
          <w:tab w:val="left" w:pos="284"/>
        </w:tabs>
        <w:contextualSpacing/>
        <w:jc w:val="both"/>
        <w:rPr>
          <w:rFonts w:ascii="Arial Narrow" w:hAnsi="Arial Narrow" w:cs="Arial"/>
          <w:sz w:val="24"/>
          <w:szCs w:val="24"/>
        </w:rPr>
      </w:pPr>
      <w:r>
        <w:rPr>
          <w:rFonts w:ascii="Arial Narrow" w:hAnsi="Arial Narrow" w:cs="Arial"/>
          <w:sz w:val="24"/>
          <w:szCs w:val="24"/>
        </w:rPr>
        <w:t>Asimismo, en la medida que el régimen de tránsito terrestre es diferente al régimen de transporte terrestre, se conmina a las autoridades con funciones en materia de tránsito y transporte a dar aplicación a todas las consecuencias que correspondan a las conductas pluriofensivas, principalmente aquellas relacionadas con el transporte informal e ilegal.</w:t>
      </w:r>
    </w:p>
    <w:p w14:paraId="331B5C03" w14:textId="77777777" w:rsidR="007742AF" w:rsidRDefault="007742AF" w:rsidP="007A1414">
      <w:pPr>
        <w:pStyle w:val="Sinespaciado"/>
        <w:tabs>
          <w:tab w:val="left" w:pos="284"/>
        </w:tabs>
        <w:contextualSpacing/>
        <w:jc w:val="both"/>
        <w:rPr>
          <w:rFonts w:ascii="Arial Narrow" w:hAnsi="Arial Narrow" w:cs="Arial"/>
          <w:sz w:val="24"/>
          <w:szCs w:val="24"/>
        </w:rPr>
      </w:pPr>
    </w:p>
    <w:p w14:paraId="12763015" w14:textId="6439B13E" w:rsidR="00370C52" w:rsidRPr="002D1BB0" w:rsidRDefault="00370C52" w:rsidP="007A1414">
      <w:pPr>
        <w:pStyle w:val="Sinespaciado"/>
        <w:numPr>
          <w:ilvl w:val="1"/>
          <w:numId w:val="1"/>
        </w:numPr>
        <w:tabs>
          <w:tab w:val="left" w:pos="284"/>
        </w:tabs>
        <w:ind w:left="0" w:firstLine="0"/>
        <w:contextualSpacing/>
        <w:jc w:val="both"/>
        <w:rPr>
          <w:rFonts w:ascii="Arial Narrow" w:hAnsi="Arial Narrow" w:cs="Arial"/>
          <w:sz w:val="24"/>
          <w:szCs w:val="24"/>
          <w:u w:val="single"/>
        </w:rPr>
      </w:pPr>
      <w:r w:rsidRPr="002D1BB0">
        <w:rPr>
          <w:rFonts w:ascii="Arial Narrow" w:hAnsi="Arial Narrow" w:cs="Arial"/>
          <w:sz w:val="24"/>
          <w:szCs w:val="24"/>
          <w:u w:val="single"/>
        </w:rPr>
        <w:t xml:space="preserve">Fundamentos </w:t>
      </w:r>
      <w:r w:rsidR="00714EA7">
        <w:rPr>
          <w:rFonts w:ascii="Arial Narrow" w:hAnsi="Arial Narrow" w:cs="Arial"/>
          <w:sz w:val="24"/>
          <w:szCs w:val="24"/>
          <w:u w:val="single"/>
        </w:rPr>
        <w:t>de las instrucciones</w:t>
      </w:r>
    </w:p>
    <w:p w14:paraId="3F69DD4F" w14:textId="33826F75" w:rsidR="00C3261C" w:rsidRDefault="00DA31CA" w:rsidP="007A1414">
      <w:pPr>
        <w:pStyle w:val="Sinespaciado"/>
        <w:tabs>
          <w:tab w:val="left" w:pos="284"/>
        </w:tabs>
        <w:contextualSpacing/>
        <w:jc w:val="both"/>
        <w:rPr>
          <w:rFonts w:ascii="Arial Narrow" w:hAnsi="Arial Narrow"/>
          <w:i/>
          <w:iCs/>
          <w:color w:val="000000" w:themeColor="text1"/>
          <w:sz w:val="24"/>
          <w:szCs w:val="24"/>
          <w:lang w:val="es-MX"/>
        </w:rPr>
      </w:pPr>
      <w:r w:rsidRPr="008556C4">
        <w:rPr>
          <w:rFonts w:ascii="Arial Narrow" w:hAnsi="Arial Narrow"/>
          <w:i/>
          <w:iCs/>
          <w:color w:val="000000" w:themeColor="text1"/>
          <w:sz w:val="24"/>
          <w:szCs w:val="24"/>
          <w:lang w:val="es-MX"/>
        </w:rPr>
        <w:t>2.3.1</w:t>
      </w:r>
      <w:r w:rsidR="00714EA7">
        <w:rPr>
          <w:rFonts w:ascii="Arial Narrow" w:hAnsi="Arial Narrow"/>
          <w:i/>
          <w:iCs/>
          <w:color w:val="000000" w:themeColor="text1"/>
          <w:sz w:val="24"/>
          <w:szCs w:val="24"/>
          <w:lang w:val="es-MX"/>
        </w:rPr>
        <w:t xml:space="preserve"> Fuente Constitucional del transporte público</w:t>
      </w:r>
    </w:p>
    <w:p w14:paraId="5D615E10" w14:textId="77777777" w:rsidR="00DA31CA" w:rsidRDefault="00DA31CA" w:rsidP="007A1414">
      <w:pPr>
        <w:pStyle w:val="Sinespaciado"/>
        <w:tabs>
          <w:tab w:val="left" w:pos="284"/>
        </w:tabs>
        <w:contextualSpacing/>
        <w:jc w:val="both"/>
        <w:rPr>
          <w:rFonts w:ascii="Arial Narrow" w:hAnsi="Arial Narrow" w:cs="Arial"/>
          <w:i/>
          <w:iCs/>
          <w:sz w:val="24"/>
          <w:szCs w:val="24"/>
        </w:rPr>
      </w:pPr>
    </w:p>
    <w:p w14:paraId="09D07892" w14:textId="0F4CC60F" w:rsidR="008556C4" w:rsidRDefault="008556C4" w:rsidP="007A1414">
      <w:pPr>
        <w:pStyle w:val="Prrafodelista"/>
        <w:spacing w:after="0" w:line="240" w:lineRule="auto"/>
        <w:ind w:left="0"/>
        <w:jc w:val="both"/>
        <w:rPr>
          <w:rFonts w:ascii="Arial Narrow" w:hAnsi="Arial Narrow"/>
          <w:color w:val="000000" w:themeColor="text1"/>
          <w:sz w:val="24"/>
          <w:szCs w:val="24"/>
          <w:lang w:val="es-MX"/>
        </w:rPr>
      </w:pPr>
      <w:r>
        <w:rPr>
          <w:rFonts w:ascii="Arial Narrow" w:hAnsi="Arial Narrow"/>
          <w:color w:val="000000" w:themeColor="text1"/>
          <w:sz w:val="24"/>
          <w:szCs w:val="24"/>
          <w:lang w:val="es-MX"/>
        </w:rPr>
        <w:t>El transporte público es una manifestación de la libertad de locomoción, es un servicio público y además es un prerrequisito para la materialización de otros derechos fundamentales. Veamos:</w:t>
      </w:r>
    </w:p>
    <w:p w14:paraId="78A9F194" w14:textId="77777777" w:rsidR="008556C4" w:rsidRDefault="008556C4" w:rsidP="007A1414">
      <w:pPr>
        <w:pStyle w:val="Prrafodelista"/>
        <w:spacing w:after="0" w:line="240" w:lineRule="auto"/>
        <w:ind w:left="0"/>
        <w:jc w:val="both"/>
        <w:rPr>
          <w:rFonts w:ascii="Arial Narrow" w:hAnsi="Arial Narrow"/>
          <w:color w:val="000000" w:themeColor="text1"/>
          <w:sz w:val="24"/>
          <w:szCs w:val="24"/>
          <w:lang w:val="es-MX"/>
        </w:rPr>
      </w:pPr>
    </w:p>
    <w:p w14:paraId="2FF92499" w14:textId="5BB299B5" w:rsidR="00CB1CE8" w:rsidRPr="00BD66ED" w:rsidRDefault="00714EA7" w:rsidP="007A1414">
      <w:pPr>
        <w:pStyle w:val="Prrafodelista"/>
        <w:spacing w:after="0" w:line="240" w:lineRule="auto"/>
        <w:ind w:left="0"/>
        <w:jc w:val="both"/>
        <w:rPr>
          <w:rFonts w:ascii="Arial Narrow" w:hAnsi="Arial Narrow"/>
          <w:color w:val="000000" w:themeColor="text1"/>
          <w:sz w:val="24"/>
          <w:szCs w:val="24"/>
          <w:lang w:val="es-MX"/>
        </w:rPr>
      </w:pPr>
      <w:r w:rsidRPr="00714EA7">
        <w:rPr>
          <w:rFonts w:ascii="Arial Narrow" w:hAnsi="Arial Narrow"/>
          <w:b/>
          <w:bCs/>
          <w:color w:val="000000" w:themeColor="text1"/>
          <w:sz w:val="24"/>
          <w:szCs w:val="24"/>
          <w:lang w:val="es-MX"/>
        </w:rPr>
        <w:t xml:space="preserve">(i) </w:t>
      </w:r>
      <w:r w:rsidR="00876022">
        <w:rPr>
          <w:rFonts w:ascii="Arial Narrow" w:hAnsi="Arial Narrow"/>
          <w:color w:val="000000" w:themeColor="text1"/>
          <w:sz w:val="24"/>
          <w:szCs w:val="24"/>
          <w:lang w:val="es-MX"/>
        </w:rPr>
        <w:t>E</w:t>
      </w:r>
      <w:r w:rsidR="00876022" w:rsidRPr="00BD66ED">
        <w:rPr>
          <w:rFonts w:ascii="Arial Narrow" w:hAnsi="Arial Narrow"/>
          <w:color w:val="000000" w:themeColor="text1"/>
          <w:sz w:val="24"/>
          <w:szCs w:val="24"/>
          <w:lang w:val="es-MX"/>
        </w:rPr>
        <w:t xml:space="preserve">l fundamento constitucional del transporte público es el artículo 24 de la Constitución Política, </w:t>
      </w:r>
      <w:r w:rsidR="00876022">
        <w:rPr>
          <w:rFonts w:ascii="Arial Narrow" w:hAnsi="Arial Narrow"/>
          <w:color w:val="000000" w:themeColor="text1"/>
          <w:sz w:val="24"/>
          <w:szCs w:val="24"/>
          <w:lang w:val="es-MX"/>
        </w:rPr>
        <w:t>como lo ha expuesto la H. Corte Constitucional. En efecto, de la “</w:t>
      </w:r>
      <w:r w:rsidR="00CB1CE8" w:rsidRPr="00BD66ED">
        <w:rPr>
          <w:rFonts w:ascii="Arial Narrow" w:hAnsi="Arial Narrow"/>
          <w:color w:val="000000" w:themeColor="text1"/>
          <w:sz w:val="24"/>
          <w:szCs w:val="24"/>
          <w:lang w:val="es-MX"/>
        </w:rPr>
        <w:t>dimensión positiva o prestacional</w:t>
      </w:r>
      <w:r w:rsidR="00876022">
        <w:rPr>
          <w:rFonts w:ascii="Arial Narrow" w:hAnsi="Arial Narrow"/>
          <w:color w:val="000000" w:themeColor="text1"/>
          <w:sz w:val="24"/>
          <w:szCs w:val="24"/>
          <w:lang w:val="es-MX"/>
        </w:rPr>
        <w:t>”</w:t>
      </w:r>
      <w:r w:rsidR="00CB1CE8" w:rsidRPr="00BD66ED">
        <w:rPr>
          <w:rFonts w:ascii="Arial Narrow" w:hAnsi="Arial Narrow"/>
          <w:color w:val="000000" w:themeColor="text1"/>
          <w:sz w:val="24"/>
          <w:szCs w:val="24"/>
          <w:lang w:val="es-MX"/>
        </w:rPr>
        <w:t xml:space="preserve"> de la libertad de locomoción se derivan obligaciones de hacer, o de dar, a cargo del Estado y exigibles por los ciudadanos.</w:t>
      </w:r>
      <w:r w:rsidR="00CB1CE8" w:rsidRPr="00BD66ED">
        <w:rPr>
          <w:rStyle w:val="Refdenotaalpie"/>
          <w:rFonts w:ascii="Arial Narrow" w:hAnsi="Arial Narrow"/>
          <w:color w:val="000000" w:themeColor="text1"/>
          <w:sz w:val="24"/>
          <w:szCs w:val="24"/>
          <w:lang w:val="es-MX"/>
        </w:rPr>
        <w:footnoteReference w:id="4"/>
      </w:r>
      <w:r w:rsidR="00CB1CE8" w:rsidRPr="00BD66ED">
        <w:rPr>
          <w:rFonts w:ascii="Arial Narrow" w:hAnsi="Arial Narrow"/>
          <w:color w:val="000000" w:themeColor="text1"/>
          <w:sz w:val="24"/>
          <w:szCs w:val="24"/>
          <w:lang w:val="es-MX"/>
        </w:rPr>
        <w:t xml:space="preserve">  </w:t>
      </w:r>
      <w:r w:rsidR="00876022">
        <w:rPr>
          <w:rFonts w:ascii="Arial Narrow" w:hAnsi="Arial Narrow"/>
          <w:color w:val="000000" w:themeColor="text1"/>
          <w:sz w:val="24"/>
          <w:szCs w:val="24"/>
          <w:lang w:val="es-MX"/>
        </w:rPr>
        <w:t xml:space="preserve"> La Corte Constitucional ha destacado</w:t>
      </w:r>
      <w:r w:rsidR="00CB1CE8" w:rsidRPr="00BD66ED">
        <w:rPr>
          <w:rFonts w:ascii="Arial Narrow" w:hAnsi="Arial Narrow"/>
          <w:color w:val="000000" w:themeColor="text1"/>
          <w:sz w:val="24"/>
          <w:szCs w:val="24"/>
          <w:lang w:val="es-MX"/>
        </w:rPr>
        <w:t xml:space="preserve"> tres obligaciones en cabeza del Estado:</w:t>
      </w:r>
    </w:p>
    <w:p w14:paraId="03FDC59F" w14:textId="77777777" w:rsidR="00CB1CE8" w:rsidRPr="00BD66ED" w:rsidRDefault="00CB1CE8" w:rsidP="007A1414">
      <w:pPr>
        <w:spacing w:after="0" w:line="240" w:lineRule="auto"/>
        <w:contextualSpacing/>
        <w:jc w:val="both"/>
        <w:rPr>
          <w:rFonts w:ascii="Arial Narrow" w:hAnsi="Arial Narrow"/>
          <w:color w:val="000000" w:themeColor="text1"/>
          <w:sz w:val="24"/>
          <w:szCs w:val="24"/>
          <w:lang w:val="es-MX"/>
        </w:rPr>
      </w:pPr>
    </w:p>
    <w:p w14:paraId="3993158A" w14:textId="15D05772" w:rsidR="00CB1CE8" w:rsidRPr="00BD66ED" w:rsidRDefault="00CB1CE8" w:rsidP="007A1414">
      <w:pPr>
        <w:pStyle w:val="Prrafodelista"/>
        <w:numPr>
          <w:ilvl w:val="0"/>
          <w:numId w:val="7"/>
        </w:numPr>
        <w:spacing w:after="0" w:line="240" w:lineRule="auto"/>
        <w:ind w:left="360"/>
        <w:jc w:val="both"/>
        <w:rPr>
          <w:rFonts w:ascii="Arial Narrow" w:hAnsi="Arial Narrow"/>
          <w:color w:val="000000" w:themeColor="text1"/>
          <w:sz w:val="24"/>
          <w:szCs w:val="24"/>
          <w:lang w:val="es-MX"/>
        </w:rPr>
      </w:pPr>
      <w:r w:rsidRPr="00BD66ED">
        <w:rPr>
          <w:rFonts w:ascii="Arial Narrow" w:hAnsi="Arial Narrow"/>
          <w:color w:val="000000" w:themeColor="text1"/>
          <w:sz w:val="24"/>
          <w:szCs w:val="24"/>
          <w:lang w:val="es-MX"/>
        </w:rPr>
        <w:t>Adoptar medidas y operaciones que eviten las restricciones indirectas a la movilidad de las personas.</w:t>
      </w:r>
      <w:r w:rsidRPr="00BD66ED">
        <w:rPr>
          <w:rStyle w:val="Refdenotaalpie"/>
          <w:rFonts w:ascii="Arial Narrow" w:hAnsi="Arial Narrow"/>
          <w:color w:val="000000" w:themeColor="text1"/>
          <w:sz w:val="24"/>
          <w:szCs w:val="24"/>
          <w:lang w:val="es-MX"/>
        </w:rPr>
        <w:footnoteReference w:id="5"/>
      </w:r>
    </w:p>
    <w:p w14:paraId="5AAE327D" w14:textId="77777777" w:rsidR="00CB1CE8" w:rsidRPr="00BD66ED" w:rsidRDefault="00CB1CE8" w:rsidP="007A1414">
      <w:pPr>
        <w:pStyle w:val="Prrafodelista"/>
        <w:spacing w:after="0" w:line="240" w:lineRule="auto"/>
        <w:ind w:left="360"/>
        <w:jc w:val="both"/>
        <w:rPr>
          <w:rFonts w:ascii="Arial Narrow" w:hAnsi="Arial Narrow"/>
          <w:color w:val="000000" w:themeColor="text1"/>
          <w:sz w:val="24"/>
          <w:szCs w:val="24"/>
          <w:lang w:val="es-MX"/>
        </w:rPr>
      </w:pPr>
    </w:p>
    <w:p w14:paraId="67D3B9B4" w14:textId="74B77AD1" w:rsidR="00CB1CE8" w:rsidRPr="00BD66ED" w:rsidRDefault="00CB1CE8" w:rsidP="007A1414">
      <w:pPr>
        <w:pStyle w:val="Prrafodelista"/>
        <w:numPr>
          <w:ilvl w:val="0"/>
          <w:numId w:val="7"/>
        </w:numPr>
        <w:spacing w:after="0" w:line="240" w:lineRule="auto"/>
        <w:ind w:left="360"/>
        <w:jc w:val="both"/>
        <w:rPr>
          <w:rFonts w:ascii="Arial Narrow" w:hAnsi="Arial Narrow"/>
          <w:color w:val="000000" w:themeColor="text1"/>
          <w:sz w:val="24"/>
          <w:szCs w:val="24"/>
          <w:lang w:val="es-MX"/>
        </w:rPr>
      </w:pPr>
      <w:r w:rsidRPr="00BD66ED">
        <w:rPr>
          <w:rFonts w:ascii="Arial Narrow" w:hAnsi="Arial Narrow"/>
          <w:color w:val="000000" w:themeColor="text1"/>
          <w:sz w:val="24"/>
          <w:szCs w:val="24"/>
          <w:lang w:val="es-MX"/>
        </w:rPr>
        <w:t xml:space="preserve">Garantizar el acceso de la población al sistema de transporte público.  Lo anterior, en la medida que esta “es una faceta positiva y de orden prestacional del derecho a la libertad de locomoción, por cuanto </w:t>
      </w:r>
      <w:r w:rsidRPr="00BD66ED">
        <w:rPr>
          <w:rFonts w:ascii="Arial Narrow" w:hAnsi="Arial Narrow"/>
          <w:b/>
          <w:bCs/>
          <w:color w:val="000000" w:themeColor="text1"/>
          <w:sz w:val="24"/>
          <w:szCs w:val="24"/>
          <w:lang w:val="es-MX"/>
        </w:rPr>
        <w:t>sin éste (el transporte público) difícilmente es posible para una persona desplazarse a lo largo de una urbe y ser productivo para la sociedad</w:t>
      </w:r>
      <w:r w:rsidRPr="00BD66ED">
        <w:rPr>
          <w:rFonts w:ascii="Arial Narrow" w:hAnsi="Arial Narrow"/>
          <w:color w:val="000000" w:themeColor="text1"/>
          <w:sz w:val="24"/>
          <w:szCs w:val="24"/>
          <w:lang w:val="es-MX"/>
        </w:rPr>
        <w:t>”.</w:t>
      </w:r>
      <w:r w:rsidRPr="00BD66ED">
        <w:rPr>
          <w:rStyle w:val="Refdenotaalpie"/>
          <w:rFonts w:ascii="Arial Narrow" w:hAnsi="Arial Narrow"/>
          <w:color w:val="000000" w:themeColor="text1"/>
          <w:sz w:val="24"/>
          <w:szCs w:val="24"/>
          <w:lang w:val="es-MX"/>
        </w:rPr>
        <w:footnoteReference w:id="6"/>
      </w:r>
      <w:r w:rsidRPr="00BD66ED">
        <w:rPr>
          <w:rFonts w:ascii="Arial Narrow" w:hAnsi="Arial Narrow"/>
          <w:color w:val="000000" w:themeColor="text1"/>
          <w:sz w:val="24"/>
          <w:szCs w:val="24"/>
          <w:lang w:val="es-MX"/>
        </w:rPr>
        <w:t xml:space="preserve"> (negrilla fuera de texto)</w:t>
      </w:r>
    </w:p>
    <w:p w14:paraId="4088157E" w14:textId="77777777" w:rsidR="00CB1CE8" w:rsidRPr="00BD66ED" w:rsidRDefault="00CB1CE8" w:rsidP="007A1414">
      <w:pPr>
        <w:pStyle w:val="Prrafodelista"/>
        <w:spacing w:after="0" w:line="240" w:lineRule="auto"/>
        <w:ind w:left="360"/>
        <w:jc w:val="both"/>
        <w:rPr>
          <w:rFonts w:ascii="Arial Narrow" w:hAnsi="Arial Narrow"/>
          <w:color w:val="000000" w:themeColor="text1"/>
          <w:sz w:val="24"/>
          <w:szCs w:val="24"/>
          <w:lang w:val="es-MX"/>
        </w:rPr>
      </w:pPr>
    </w:p>
    <w:p w14:paraId="718EEB13" w14:textId="3DEF8BED" w:rsidR="00876022" w:rsidRPr="00BD66ED" w:rsidRDefault="00876022" w:rsidP="007A1414">
      <w:pPr>
        <w:pStyle w:val="Prrafodelista"/>
        <w:numPr>
          <w:ilvl w:val="0"/>
          <w:numId w:val="7"/>
        </w:numPr>
        <w:spacing w:after="0" w:line="240" w:lineRule="auto"/>
        <w:ind w:left="360"/>
        <w:jc w:val="both"/>
        <w:rPr>
          <w:rFonts w:ascii="Arial Narrow" w:hAnsi="Arial Narrow"/>
          <w:color w:val="000000" w:themeColor="text1"/>
          <w:sz w:val="24"/>
          <w:szCs w:val="24"/>
          <w:lang w:val="es-MX"/>
        </w:rPr>
      </w:pPr>
      <w:r w:rsidRPr="00BD66ED">
        <w:rPr>
          <w:rFonts w:ascii="Arial Narrow" w:hAnsi="Arial Narrow"/>
          <w:color w:val="000000" w:themeColor="text1"/>
          <w:sz w:val="24"/>
          <w:szCs w:val="24"/>
          <w:lang w:val="es-MX"/>
        </w:rPr>
        <w:t>Generar un acceso de toda la población en condiciones de igualdad, especialmente de las personas en situación de discapacidad.</w:t>
      </w:r>
      <w:r w:rsidRPr="00BD66ED">
        <w:rPr>
          <w:rStyle w:val="Refdenotaalpie"/>
          <w:rFonts w:ascii="Arial Narrow" w:hAnsi="Arial Narrow"/>
          <w:color w:val="000000" w:themeColor="text1"/>
          <w:sz w:val="24"/>
          <w:szCs w:val="24"/>
          <w:lang w:val="es-MX"/>
        </w:rPr>
        <w:footnoteReference w:id="7"/>
      </w:r>
      <w:r w:rsidRPr="00BD66ED">
        <w:rPr>
          <w:rFonts w:ascii="Arial Narrow" w:hAnsi="Arial Narrow"/>
          <w:color w:val="000000" w:themeColor="text1"/>
          <w:sz w:val="24"/>
          <w:szCs w:val="24"/>
          <w:vertAlign w:val="superscript"/>
          <w:lang w:val="es-MX"/>
        </w:rPr>
        <w:t>-</w:t>
      </w:r>
      <w:r w:rsidRPr="00BD66ED">
        <w:rPr>
          <w:rStyle w:val="Refdenotaalpie"/>
          <w:rFonts w:ascii="Arial Narrow" w:hAnsi="Arial Narrow"/>
          <w:color w:val="000000" w:themeColor="text1"/>
          <w:sz w:val="24"/>
          <w:szCs w:val="24"/>
          <w:lang w:val="es-MX"/>
        </w:rPr>
        <w:footnoteReference w:id="8"/>
      </w:r>
    </w:p>
    <w:p w14:paraId="661F854B" w14:textId="088737B6" w:rsidR="00CB1CE8" w:rsidRDefault="00CB1CE8" w:rsidP="007A1414">
      <w:pPr>
        <w:pStyle w:val="Sinespaciado"/>
        <w:tabs>
          <w:tab w:val="left" w:pos="284"/>
        </w:tabs>
        <w:contextualSpacing/>
        <w:jc w:val="both"/>
        <w:rPr>
          <w:rFonts w:ascii="Arial Narrow" w:hAnsi="Arial Narrow" w:cs="Arial"/>
          <w:i/>
          <w:iCs/>
          <w:sz w:val="24"/>
          <w:szCs w:val="24"/>
          <w:lang w:val="es-MX"/>
        </w:rPr>
      </w:pPr>
    </w:p>
    <w:p w14:paraId="6AF75886" w14:textId="4A13413B" w:rsidR="00876022" w:rsidRDefault="00714EA7" w:rsidP="007A1414">
      <w:pPr>
        <w:pStyle w:val="Prrafodelista"/>
        <w:spacing w:after="0" w:line="240" w:lineRule="auto"/>
        <w:ind w:left="0"/>
        <w:jc w:val="both"/>
        <w:rPr>
          <w:rFonts w:ascii="Arial Narrow" w:hAnsi="Arial Narrow"/>
          <w:color w:val="000000" w:themeColor="text1"/>
          <w:sz w:val="24"/>
          <w:szCs w:val="24"/>
          <w:lang w:val="es-MX"/>
        </w:rPr>
      </w:pPr>
      <w:r w:rsidRPr="00714EA7">
        <w:rPr>
          <w:rFonts w:ascii="Arial Narrow" w:hAnsi="Arial Narrow"/>
          <w:b/>
          <w:bCs/>
          <w:color w:val="000000" w:themeColor="text1"/>
          <w:sz w:val="24"/>
          <w:szCs w:val="24"/>
          <w:lang w:val="es-MX"/>
        </w:rPr>
        <w:t>(i</w:t>
      </w:r>
      <w:r>
        <w:rPr>
          <w:rFonts w:ascii="Arial Narrow" w:hAnsi="Arial Narrow"/>
          <w:b/>
          <w:bCs/>
          <w:color w:val="000000" w:themeColor="text1"/>
          <w:sz w:val="24"/>
          <w:szCs w:val="24"/>
          <w:lang w:val="es-MX"/>
        </w:rPr>
        <w:t>i</w:t>
      </w:r>
      <w:r w:rsidRPr="00714EA7">
        <w:rPr>
          <w:rFonts w:ascii="Arial Narrow" w:hAnsi="Arial Narrow"/>
          <w:b/>
          <w:bCs/>
          <w:color w:val="000000" w:themeColor="text1"/>
          <w:sz w:val="24"/>
          <w:szCs w:val="24"/>
          <w:lang w:val="es-MX"/>
        </w:rPr>
        <w:t xml:space="preserve">) </w:t>
      </w:r>
      <w:r w:rsidR="00876022">
        <w:rPr>
          <w:rFonts w:ascii="Arial Narrow" w:hAnsi="Arial Narrow"/>
          <w:color w:val="000000" w:themeColor="text1"/>
          <w:sz w:val="24"/>
          <w:szCs w:val="24"/>
          <w:lang w:val="es-MX"/>
        </w:rPr>
        <w:t xml:space="preserve">De forma complementaria, en </w:t>
      </w:r>
      <w:r w:rsidR="00876022" w:rsidRPr="00BD66ED">
        <w:rPr>
          <w:rFonts w:ascii="Arial Narrow" w:hAnsi="Arial Narrow"/>
          <w:sz w:val="24"/>
          <w:szCs w:val="24"/>
          <w:lang w:val="es-ES"/>
        </w:rPr>
        <w:t>la ley 105 de 1995 se previó que “</w:t>
      </w:r>
      <w:r w:rsidR="00876022" w:rsidRPr="00BD66ED">
        <w:rPr>
          <w:rFonts w:ascii="Arial Narrow" w:hAnsi="Arial Narrow"/>
          <w:b/>
          <w:bCs/>
          <w:sz w:val="24"/>
          <w:szCs w:val="24"/>
          <w:lang w:val="es-ES"/>
        </w:rPr>
        <w:t xml:space="preserve">[l]a operación del transporte público </w:t>
      </w:r>
      <w:r w:rsidR="00876022" w:rsidRPr="00BD66ED">
        <w:rPr>
          <w:rFonts w:ascii="Arial Narrow" w:hAnsi="Arial Narrow"/>
          <w:sz w:val="24"/>
          <w:szCs w:val="24"/>
          <w:lang w:val="es-ES"/>
        </w:rPr>
        <w:t xml:space="preserve">en Colombia </w:t>
      </w:r>
      <w:r w:rsidR="00876022" w:rsidRPr="00BD66ED">
        <w:rPr>
          <w:rFonts w:ascii="Arial Narrow" w:hAnsi="Arial Narrow"/>
          <w:b/>
          <w:bCs/>
          <w:sz w:val="24"/>
          <w:szCs w:val="24"/>
          <w:lang w:val="es-ES"/>
        </w:rPr>
        <w:t>es un servicio público</w:t>
      </w:r>
      <w:r w:rsidR="00876022" w:rsidRPr="00BD66ED">
        <w:rPr>
          <w:rFonts w:ascii="Arial Narrow" w:hAnsi="Arial Narrow"/>
          <w:sz w:val="24"/>
          <w:szCs w:val="24"/>
          <w:lang w:val="es-ES"/>
        </w:rPr>
        <w:t xml:space="preserve"> bajo la regulación del Estado, quien ejercerá el control y la vigilancia necesarios para su adecuada prestación en condiciones de calidad, oportunidad y seguridad”. Fue la ley la </w:t>
      </w:r>
      <w:r w:rsidR="00876022" w:rsidRPr="00BD66ED">
        <w:rPr>
          <w:rFonts w:ascii="Arial Narrow" w:hAnsi="Arial Narrow"/>
          <w:sz w:val="24"/>
          <w:szCs w:val="24"/>
          <w:lang w:val="es-ES"/>
        </w:rPr>
        <w:lastRenderedPageBreak/>
        <w:t>que generó una equivalencia entre “transporte público” y “servicio público”.</w:t>
      </w:r>
      <w:r w:rsidR="00876022">
        <w:rPr>
          <w:rFonts w:ascii="Arial Narrow" w:hAnsi="Arial Narrow"/>
          <w:sz w:val="24"/>
          <w:szCs w:val="24"/>
          <w:lang w:val="es-ES"/>
        </w:rPr>
        <w:t xml:space="preserve">  Por lo tanto, la equivalencia entre “operación de transporte público” y “servicio público” </w:t>
      </w:r>
      <w:r w:rsidR="00876022" w:rsidRPr="00BD66ED">
        <w:rPr>
          <w:rFonts w:ascii="Arial Narrow" w:hAnsi="Arial Narrow"/>
          <w:color w:val="000000" w:themeColor="text1"/>
          <w:sz w:val="24"/>
          <w:szCs w:val="24"/>
          <w:lang w:val="es-MX"/>
        </w:rPr>
        <w:t>la hace la ley</w:t>
      </w:r>
      <w:r w:rsidR="00876022">
        <w:rPr>
          <w:rFonts w:ascii="Arial Narrow" w:hAnsi="Arial Narrow"/>
          <w:color w:val="000000" w:themeColor="text1"/>
          <w:sz w:val="24"/>
          <w:szCs w:val="24"/>
          <w:lang w:val="es-MX"/>
        </w:rPr>
        <w:t>, no la Constitución Política.</w:t>
      </w:r>
      <w:r w:rsidR="00876022" w:rsidRPr="00BD66ED">
        <w:rPr>
          <w:rStyle w:val="Refdenotaalpie"/>
          <w:rFonts w:ascii="Arial Narrow" w:hAnsi="Arial Narrow"/>
          <w:color w:val="000000" w:themeColor="text1"/>
          <w:sz w:val="24"/>
          <w:szCs w:val="24"/>
          <w:lang w:val="es-MX"/>
        </w:rPr>
        <w:footnoteReference w:id="9"/>
      </w:r>
      <w:r w:rsidR="00876022" w:rsidRPr="00BD66ED">
        <w:rPr>
          <w:rFonts w:ascii="Arial Narrow" w:hAnsi="Arial Narrow"/>
          <w:color w:val="000000" w:themeColor="text1"/>
          <w:sz w:val="24"/>
          <w:szCs w:val="24"/>
          <w:lang w:val="es-MX"/>
        </w:rPr>
        <w:t xml:space="preserve"> </w:t>
      </w:r>
    </w:p>
    <w:p w14:paraId="512F0496" w14:textId="13CFBE4B" w:rsidR="008556C4" w:rsidRDefault="008556C4" w:rsidP="007A1414">
      <w:pPr>
        <w:pStyle w:val="Prrafodelista"/>
        <w:spacing w:after="0" w:line="240" w:lineRule="auto"/>
        <w:ind w:left="0"/>
        <w:jc w:val="both"/>
        <w:rPr>
          <w:rFonts w:ascii="Arial Narrow" w:hAnsi="Arial Narrow"/>
          <w:color w:val="000000" w:themeColor="text1"/>
          <w:sz w:val="24"/>
          <w:szCs w:val="24"/>
          <w:lang w:val="es-MX"/>
        </w:rPr>
      </w:pPr>
    </w:p>
    <w:p w14:paraId="58469B0A" w14:textId="66A17807" w:rsidR="00876022" w:rsidRPr="00BD66ED" w:rsidRDefault="00714EA7" w:rsidP="007A1414">
      <w:pPr>
        <w:pStyle w:val="Prrafodelista"/>
        <w:spacing w:after="0" w:line="240" w:lineRule="auto"/>
        <w:ind w:left="0"/>
        <w:jc w:val="both"/>
        <w:rPr>
          <w:rFonts w:ascii="Arial Narrow" w:hAnsi="Arial Narrow"/>
          <w:color w:val="000000" w:themeColor="text1"/>
          <w:sz w:val="24"/>
          <w:szCs w:val="24"/>
          <w:lang w:val="es-MX"/>
        </w:rPr>
      </w:pPr>
      <w:r w:rsidRPr="00714EA7">
        <w:rPr>
          <w:rFonts w:ascii="Arial Narrow" w:hAnsi="Arial Narrow"/>
          <w:b/>
          <w:bCs/>
          <w:color w:val="000000" w:themeColor="text1"/>
          <w:sz w:val="24"/>
          <w:szCs w:val="24"/>
          <w:lang w:val="es-MX"/>
        </w:rPr>
        <w:t>(</w:t>
      </w:r>
      <w:r>
        <w:rPr>
          <w:rFonts w:ascii="Arial Narrow" w:hAnsi="Arial Narrow"/>
          <w:b/>
          <w:bCs/>
          <w:color w:val="000000" w:themeColor="text1"/>
          <w:sz w:val="24"/>
          <w:szCs w:val="24"/>
          <w:lang w:val="es-MX"/>
        </w:rPr>
        <w:t>ii</w:t>
      </w:r>
      <w:r w:rsidRPr="00714EA7">
        <w:rPr>
          <w:rFonts w:ascii="Arial Narrow" w:hAnsi="Arial Narrow"/>
          <w:b/>
          <w:bCs/>
          <w:color w:val="000000" w:themeColor="text1"/>
          <w:sz w:val="24"/>
          <w:szCs w:val="24"/>
          <w:lang w:val="es-MX"/>
        </w:rPr>
        <w:t xml:space="preserve">i) </w:t>
      </w:r>
      <w:r w:rsidR="008556C4">
        <w:rPr>
          <w:rFonts w:ascii="Arial Narrow" w:hAnsi="Arial Narrow"/>
          <w:color w:val="000000" w:themeColor="text1"/>
          <w:sz w:val="24"/>
          <w:szCs w:val="24"/>
          <w:lang w:val="es-MX"/>
        </w:rPr>
        <w:t xml:space="preserve">Por último, la </w:t>
      </w:r>
      <w:r w:rsidR="00876022" w:rsidRPr="00BD66ED">
        <w:rPr>
          <w:rFonts w:ascii="Arial Narrow" w:hAnsi="Arial Narrow"/>
          <w:color w:val="000000" w:themeColor="text1"/>
          <w:sz w:val="24"/>
          <w:szCs w:val="24"/>
          <w:lang w:val="es-MX"/>
        </w:rPr>
        <w:t xml:space="preserve">jurisprudencia constitucional ha reiterado que la libertad de circulación es “un derecho constitucional que </w:t>
      </w:r>
      <w:r w:rsidR="00876022" w:rsidRPr="00BD66ED">
        <w:rPr>
          <w:rFonts w:ascii="Arial Narrow" w:hAnsi="Arial Narrow"/>
          <w:b/>
          <w:bCs/>
          <w:color w:val="000000" w:themeColor="text1"/>
          <w:sz w:val="24"/>
          <w:szCs w:val="24"/>
          <w:lang w:val="es-MX"/>
        </w:rPr>
        <w:t>al igual que el derecho a la vida, tiene una especial importancia en tanto que es un presupuesto para el ejercicio de otros derechos y garantías</w:t>
      </w:r>
      <w:r w:rsidR="00876022" w:rsidRPr="00BD66ED">
        <w:rPr>
          <w:rFonts w:ascii="Arial Narrow" w:hAnsi="Arial Narrow"/>
          <w:color w:val="000000" w:themeColor="text1"/>
          <w:sz w:val="24"/>
          <w:szCs w:val="24"/>
          <w:lang w:val="es-MX"/>
        </w:rPr>
        <w:t xml:space="preserve">, como por ejemplo, el derecho a la </w:t>
      </w:r>
      <w:r w:rsidR="00876022" w:rsidRPr="00BD66ED">
        <w:rPr>
          <w:rFonts w:ascii="Arial Narrow" w:hAnsi="Arial Narrow"/>
          <w:b/>
          <w:bCs/>
          <w:color w:val="000000" w:themeColor="text1"/>
          <w:sz w:val="24"/>
          <w:szCs w:val="24"/>
          <w:lang w:val="es-MX"/>
        </w:rPr>
        <w:t>educación</w:t>
      </w:r>
      <w:r w:rsidR="00876022" w:rsidRPr="00BD66ED">
        <w:rPr>
          <w:rFonts w:ascii="Arial Narrow" w:hAnsi="Arial Narrow"/>
          <w:color w:val="000000" w:themeColor="text1"/>
          <w:sz w:val="24"/>
          <w:szCs w:val="24"/>
          <w:lang w:val="es-MX"/>
        </w:rPr>
        <w:t xml:space="preserve">, al </w:t>
      </w:r>
      <w:r w:rsidR="00876022" w:rsidRPr="00BD66ED">
        <w:rPr>
          <w:rFonts w:ascii="Arial Narrow" w:hAnsi="Arial Narrow"/>
          <w:b/>
          <w:bCs/>
          <w:color w:val="000000" w:themeColor="text1"/>
          <w:sz w:val="24"/>
          <w:szCs w:val="24"/>
          <w:lang w:val="es-MX"/>
        </w:rPr>
        <w:t>trabajo</w:t>
      </w:r>
      <w:r w:rsidR="00876022" w:rsidRPr="00BD66ED">
        <w:rPr>
          <w:rFonts w:ascii="Arial Narrow" w:hAnsi="Arial Narrow"/>
          <w:color w:val="000000" w:themeColor="text1"/>
          <w:sz w:val="24"/>
          <w:szCs w:val="24"/>
          <w:lang w:val="es-MX"/>
        </w:rPr>
        <w:t xml:space="preserve"> o a la </w:t>
      </w:r>
      <w:r w:rsidR="00876022" w:rsidRPr="00BD66ED">
        <w:rPr>
          <w:rFonts w:ascii="Arial Narrow" w:hAnsi="Arial Narrow"/>
          <w:b/>
          <w:bCs/>
          <w:color w:val="000000" w:themeColor="text1"/>
          <w:sz w:val="24"/>
          <w:szCs w:val="24"/>
          <w:lang w:val="es-MX"/>
        </w:rPr>
        <w:t>salud</w:t>
      </w:r>
      <w:r w:rsidR="00876022" w:rsidRPr="00BD66ED">
        <w:rPr>
          <w:rFonts w:ascii="Arial Narrow" w:hAnsi="Arial Narrow"/>
          <w:color w:val="000000" w:themeColor="text1"/>
          <w:sz w:val="24"/>
          <w:szCs w:val="24"/>
          <w:lang w:val="es-MX"/>
        </w:rPr>
        <w:t>”.</w:t>
      </w:r>
      <w:r w:rsidR="00876022" w:rsidRPr="00BD66ED">
        <w:rPr>
          <w:rStyle w:val="Refdenotaalpie"/>
          <w:rFonts w:ascii="Arial Narrow" w:hAnsi="Arial Narrow"/>
          <w:color w:val="000000" w:themeColor="text1"/>
          <w:sz w:val="24"/>
          <w:szCs w:val="24"/>
          <w:lang w:val="es-MX"/>
        </w:rPr>
        <w:footnoteReference w:id="10"/>
      </w:r>
      <w:r w:rsidR="00876022" w:rsidRPr="00BD66ED">
        <w:rPr>
          <w:rFonts w:ascii="Arial Narrow" w:hAnsi="Arial Narrow"/>
          <w:color w:val="000000" w:themeColor="text1"/>
          <w:sz w:val="24"/>
          <w:szCs w:val="24"/>
          <w:lang w:val="es-MX"/>
        </w:rPr>
        <w:t xml:space="preserve"> </w:t>
      </w:r>
      <w:r w:rsidR="00876022" w:rsidRPr="00CB1CE8">
        <w:rPr>
          <w:rFonts w:ascii="Arial Narrow" w:hAnsi="Arial Narrow"/>
          <w:color w:val="000000" w:themeColor="text1"/>
          <w:sz w:val="24"/>
          <w:szCs w:val="24"/>
          <w:lang w:val="es-CO"/>
        </w:rPr>
        <w:t>(negrilla fuera de texto)</w:t>
      </w:r>
    </w:p>
    <w:p w14:paraId="6165ECD8" w14:textId="0E1A03B9" w:rsidR="00CB1CE8" w:rsidRDefault="00CB1CE8" w:rsidP="007A1414">
      <w:pPr>
        <w:pStyle w:val="Sinespaciado"/>
        <w:tabs>
          <w:tab w:val="left" w:pos="284"/>
        </w:tabs>
        <w:contextualSpacing/>
        <w:jc w:val="both"/>
        <w:rPr>
          <w:rFonts w:ascii="Arial Narrow" w:hAnsi="Arial Narrow" w:cs="Arial"/>
          <w:i/>
          <w:iCs/>
          <w:sz w:val="24"/>
          <w:szCs w:val="24"/>
          <w:lang w:val="es-MX"/>
        </w:rPr>
      </w:pPr>
    </w:p>
    <w:p w14:paraId="02C8B216" w14:textId="77777777" w:rsidR="00CB1CE8" w:rsidRPr="00BD66ED" w:rsidRDefault="00CB1CE8" w:rsidP="007A1414">
      <w:pPr>
        <w:tabs>
          <w:tab w:val="left" w:pos="-142"/>
          <w:tab w:val="left" w:pos="360"/>
          <w:tab w:val="center" w:pos="426"/>
        </w:tabs>
        <w:overflowPunct w:val="0"/>
        <w:autoSpaceDE w:val="0"/>
        <w:autoSpaceDN w:val="0"/>
        <w:adjustRightInd w:val="0"/>
        <w:spacing w:after="0" w:line="240" w:lineRule="auto"/>
        <w:contextualSpacing/>
        <w:jc w:val="both"/>
        <w:rPr>
          <w:rFonts w:ascii="Arial Narrow" w:hAnsi="Arial Narrow" w:cs="Arial"/>
          <w:sz w:val="24"/>
          <w:szCs w:val="24"/>
          <w:vertAlign w:val="superscript"/>
          <w:lang w:val="es-ES_tradnl"/>
        </w:rPr>
      </w:pPr>
      <w:r w:rsidRPr="00CB1CE8">
        <w:rPr>
          <w:rFonts w:ascii="Arial Narrow" w:hAnsi="Arial Narrow"/>
          <w:sz w:val="24"/>
          <w:szCs w:val="24"/>
          <w:lang w:val="es-CO"/>
        </w:rPr>
        <w:t>A este respecto, la Corte Constitucional ha precisado que “</w:t>
      </w:r>
      <w:r w:rsidRPr="00CB1CE8">
        <w:rPr>
          <w:rFonts w:ascii="Arial Narrow" w:hAnsi="Arial Narrow"/>
          <w:b/>
          <w:bCs/>
          <w:sz w:val="24"/>
          <w:szCs w:val="24"/>
          <w:lang w:val="es-CO"/>
        </w:rPr>
        <w:t>el</w:t>
      </w:r>
      <w:r w:rsidRPr="00CB1CE8">
        <w:rPr>
          <w:rFonts w:ascii="Arial Narrow" w:hAnsi="Arial Narrow"/>
          <w:sz w:val="24"/>
          <w:szCs w:val="24"/>
          <w:lang w:val="es-CO"/>
        </w:rPr>
        <w:t xml:space="preserve"> </w:t>
      </w:r>
      <w:r w:rsidRPr="00CB1CE8">
        <w:rPr>
          <w:rFonts w:ascii="Arial Narrow" w:hAnsi="Arial Narrow"/>
          <w:b/>
          <w:bCs/>
          <w:color w:val="000000" w:themeColor="text1"/>
          <w:sz w:val="24"/>
          <w:szCs w:val="24"/>
          <w:lang w:val="es-CO"/>
        </w:rPr>
        <w:t>poder de regulación del transporte no sólo busca asegurar que en efecto las personas puedan desplazarse, busca también que éste se dé en condiciones de seguridad,</w:t>
      </w:r>
      <w:r w:rsidRPr="00CB1CE8">
        <w:rPr>
          <w:rFonts w:ascii="Arial Narrow" w:hAnsi="Arial Narrow"/>
          <w:color w:val="000000" w:themeColor="text1"/>
          <w:sz w:val="24"/>
          <w:szCs w:val="24"/>
          <w:lang w:val="es-CO"/>
        </w:rPr>
        <w:t xml:space="preserve"> sin tener que exponer la vida y la integridad personal a riesgos más allá de lo razonable”.</w:t>
      </w:r>
      <w:r w:rsidRPr="00BD66ED">
        <w:rPr>
          <w:rStyle w:val="Refdenotaalpie"/>
          <w:rFonts w:ascii="Arial Narrow" w:hAnsi="Arial Narrow"/>
          <w:color w:val="000000" w:themeColor="text1"/>
          <w:sz w:val="24"/>
          <w:szCs w:val="24"/>
        </w:rPr>
        <w:footnoteReference w:id="11"/>
      </w:r>
      <w:r w:rsidRPr="00CB1CE8">
        <w:rPr>
          <w:rFonts w:ascii="Arial Narrow" w:hAnsi="Arial Narrow"/>
          <w:color w:val="000000" w:themeColor="text1"/>
          <w:sz w:val="24"/>
          <w:szCs w:val="24"/>
          <w:lang w:val="es-CO"/>
        </w:rPr>
        <w:t xml:space="preserve">  </w:t>
      </w:r>
    </w:p>
    <w:p w14:paraId="7A073D54" w14:textId="77777777" w:rsidR="00CB1CE8" w:rsidRPr="00CB1CE8" w:rsidRDefault="00CB1CE8" w:rsidP="007A1414">
      <w:pPr>
        <w:pStyle w:val="Sinespaciado"/>
        <w:tabs>
          <w:tab w:val="left" w:pos="284"/>
        </w:tabs>
        <w:contextualSpacing/>
        <w:jc w:val="both"/>
        <w:rPr>
          <w:rFonts w:ascii="Arial Narrow" w:hAnsi="Arial Narrow" w:cs="Arial"/>
          <w:i/>
          <w:iCs/>
          <w:sz w:val="24"/>
          <w:szCs w:val="24"/>
          <w:lang w:val="es-ES_tradnl"/>
        </w:rPr>
      </w:pPr>
    </w:p>
    <w:p w14:paraId="46116FC7" w14:textId="65121943" w:rsidR="00403CB7" w:rsidRDefault="00403CB7" w:rsidP="007A1414">
      <w:pPr>
        <w:pStyle w:val="Sinespaciado"/>
        <w:tabs>
          <w:tab w:val="left" w:pos="284"/>
        </w:tabs>
        <w:contextualSpacing/>
        <w:jc w:val="both"/>
        <w:rPr>
          <w:rFonts w:ascii="Arial Narrow" w:hAnsi="Arial Narrow" w:cs="Arial"/>
          <w:bCs/>
          <w:i/>
          <w:iCs/>
          <w:sz w:val="24"/>
          <w:szCs w:val="24"/>
        </w:rPr>
      </w:pPr>
      <w:r>
        <w:rPr>
          <w:rFonts w:ascii="Arial Narrow" w:hAnsi="Arial Narrow" w:cs="Arial"/>
          <w:i/>
          <w:iCs/>
          <w:sz w:val="24"/>
          <w:szCs w:val="24"/>
        </w:rPr>
        <w:t>2.3.</w:t>
      </w:r>
      <w:r w:rsidR="00DA31CA">
        <w:rPr>
          <w:rFonts w:ascii="Arial Narrow" w:hAnsi="Arial Narrow" w:cs="Arial"/>
          <w:i/>
          <w:iCs/>
          <w:sz w:val="24"/>
          <w:szCs w:val="24"/>
        </w:rPr>
        <w:t>2</w:t>
      </w:r>
      <w:r>
        <w:rPr>
          <w:rFonts w:ascii="Arial Narrow" w:hAnsi="Arial Narrow" w:cs="Arial"/>
          <w:i/>
          <w:iCs/>
          <w:sz w:val="24"/>
          <w:szCs w:val="24"/>
        </w:rPr>
        <w:t xml:space="preserve"> Deber de formular y actualizar </w:t>
      </w:r>
      <w:r>
        <w:rPr>
          <w:rFonts w:ascii="Arial Narrow" w:hAnsi="Arial Narrow" w:cs="Arial"/>
          <w:bCs/>
          <w:i/>
          <w:iCs/>
          <w:color w:val="000000" w:themeColor="text1"/>
          <w:sz w:val="24"/>
          <w:szCs w:val="24"/>
        </w:rPr>
        <w:t xml:space="preserve">el “Plan Estratégico </w:t>
      </w:r>
      <w:r>
        <w:rPr>
          <w:rFonts w:ascii="Arial Narrow" w:hAnsi="Arial Narrow" w:cs="Arial"/>
          <w:bCs/>
          <w:i/>
          <w:iCs/>
          <w:sz w:val="24"/>
          <w:szCs w:val="24"/>
        </w:rPr>
        <w:t>de Vigilancia y Control del Cumplimiento de las Normas de Transporte y Tránsito”</w:t>
      </w:r>
    </w:p>
    <w:p w14:paraId="25F9F5B1" w14:textId="2D8F3D02" w:rsidR="00403CB7" w:rsidRDefault="00403CB7" w:rsidP="007A1414">
      <w:pPr>
        <w:pStyle w:val="Sinespaciado"/>
        <w:tabs>
          <w:tab w:val="left" w:pos="284"/>
        </w:tabs>
        <w:contextualSpacing/>
        <w:jc w:val="both"/>
        <w:rPr>
          <w:rFonts w:ascii="Arial Narrow" w:hAnsi="Arial Narrow" w:cs="Arial"/>
          <w:bCs/>
          <w:i/>
          <w:iCs/>
          <w:sz w:val="24"/>
          <w:szCs w:val="24"/>
        </w:rPr>
      </w:pPr>
    </w:p>
    <w:p w14:paraId="6B243ABC" w14:textId="50013676" w:rsidR="00EB783E" w:rsidRDefault="00EB783E" w:rsidP="007A1414">
      <w:pPr>
        <w:pStyle w:val="Sinespaciado"/>
        <w:tabs>
          <w:tab w:val="left" w:pos="284"/>
        </w:tabs>
        <w:contextualSpacing/>
        <w:jc w:val="both"/>
        <w:rPr>
          <w:rFonts w:ascii="Arial Narrow" w:hAnsi="Arial Narrow" w:cs="Arial"/>
          <w:bCs/>
          <w:sz w:val="24"/>
          <w:szCs w:val="24"/>
        </w:rPr>
      </w:pPr>
      <w:r>
        <w:rPr>
          <w:rFonts w:ascii="Arial Narrow" w:hAnsi="Arial Narrow" w:cs="Arial"/>
          <w:bCs/>
          <w:sz w:val="24"/>
          <w:szCs w:val="24"/>
        </w:rPr>
        <w:t>Propio de las dimensiones positivas o prestacionales de los derechos fundamentales, las entidades públicas deben contar con un plan que tienda a materializar dicha obligación en el tiempo.</w:t>
      </w:r>
      <w:r w:rsidRPr="00BD66ED">
        <w:rPr>
          <w:rStyle w:val="Refdenotaalpie"/>
          <w:rFonts w:ascii="Arial Narrow" w:hAnsi="Arial Narrow"/>
          <w:color w:val="000000" w:themeColor="text1"/>
          <w:sz w:val="24"/>
          <w:szCs w:val="24"/>
          <w:lang w:val="es-MX"/>
        </w:rPr>
        <w:footnoteReference w:id="12"/>
      </w:r>
    </w:p>
    <w:p w14:paraId="646BAE0D" w14:textId="120126E8" w:rsidR="00EB783E" w:rsidRDefault="00EB783E" w:rsidP="007A1414">
      <w:pPr>
        <w:pStyle w:val="Sinespaciado"/>
        <w:tabs>
          <w:tab w:val="left" w:pos="284"/>
        </w:tabs>
        <w:contextualSpacing/>
        <w:jc w:val="both"/>
        <w:rPr>
          <w:rFonts w:ascii="Arial Narrow" w:hAnsi="Arial Narrow" w:cs="Arial"/>
          <w:bCs/>
          <w:sz w:val="24"/>
          <w:szCs w:val="24"/>
        </w:rPr>
      </w:pPr>
    </w:p>
    <w:p w14:paraId="513E4143" w14:textId="33A45D17" w:rsidR="00EB783E" w:rsidRDefault="00EB783E" w:rsidP="007A1414">
      <w:pPr>
        <w:pStyle w:val="Sinespaciado"/>
        <w:tabs>
          <w:tab w:val="left" w:pos="284"/>
        </w:tabs>
        <w:contextualSpacing/>
        <w:jc w:val="both"/>
        <w:rPr>
          <w:rFonts w:ascii="Arial Narrow" w:hAnsi="Arial Narrow" w:cs="Arial"/>
          <w:bCs/>
          <w:i/>
          <w:iCs/>
          <w:sz w:val="24"/>
          <w:szCs w:val="24"/>
        </w:rPr>
      </w:pPr>
      <w:r>
        <w:rPr>
          <w:rFonts w:ascii="Arial Narrow" w:hAnsi="Arial Narrow" w:cs="Arial"/>
          <w:bCs/>
          <w:sz w:val="24"/>
          <w:szCs w:val="24"/>
        </w:rPr>
        <w:t>Al respecto, el Ministerio de Transporte expidió la resolución 3443 de 2016</w:t>
      </w:r>
      <w:r w:rsidR="007A1414">
        <w:rPr>
          <w:rFonts w:ascii="Arial Narrow" w:hAnsi="Arial Narrow" w:cs="Arial"/>
          <w:bCs/>
          <w:sz w:val="24"/>
          <w:szCs w:val="24"/>
        </w:rPr>
        <w:t xml:space="preserve"> en la cual se previó que </w:t>
      </w:r>
      <w:r w:rsidR="007A1414">
        <w:rPr>
          <w:rFonts w:ascii="Arial Narrow" w:hAnsi="Arial Narrow" w:cs="Arial"/>
          <w:bCs/>
          <w:i/>
          <w:iCs/>
          <w:sz w:val="24"/>
          <w:szCs w:val="24"/>
        </w:rPr>
        <w:t>“[t]</w:t>
      </w:r>
      <w:r w:rsidR="007A1414" w:rsidRPr="007A1414">
        <w:rPr>
          <w:rFonts w:ascii="Arial Narrow" w:hAnsi="Arial Narrow" w:cs="Arial"/>
          <w:bCs/>
          <w:i/>
          <w:iCs/>
          <w:sz w:val="24"/>
          <w:szCs w:val="24"/>
        </w:rPr>
        <w:t xml:space="preserve">odas las entidades del sector transporte deberán aunar esfuerzos para apoyar a las entidades que tienen a cargo </w:t>
      </w:r>
      <w:r w:rsidR="007A1414" w:rsidRPr="007A1414">
        <w:rPr>
          <w:rFonts w:ascii="Arial Narrow" w:hAnsi="Arial Narrow" w:cs="Arial"/>
          <w:bCs/>
          <w:i/>
          <w:iCs/>
          <w:sz w:val="24"/>
          <w:szCs w:val="24"/>
        </w:rPr>
        <w:lastRenderedPageBreak/>
        <w:t>el control del cumplimiento, para garantizar la eficiencia de las acciones de supervisión, inspección, control y vigilancia</w:t>
      </w:r>
      <w:r w:rsidR="007A1414">
        <w:rPr>
          <w:rFonts w:ascii="Arial Narrow" w:hAnsi="Arial Narrow" w:cs="Arial"/>
          <w:bCs/>
          <w:i/>
          <w:iCs/>
          <w:sz w:val="24"/>
          <w:szCs w:val="24"/>
        </w:rPr>
        <w:t xml:space="preserve"> (incluyendo) A</w:t>
      </w:r>
      <w:r w:rsidR="007A1414" w:rsidRPr="007A1414">
        <w:rPr>
          <w:rFonts w:ascii="Arial Narrow" w:hAnsi="Arial Narrow" w:cs="Arial"/>
          <w:bCs/>
          <w:i/>
          <w:iCs/>
          <w:sz w:val="24"/>
          <w:szCs w:val="24"/>
        </w:rPr>
        <w:t>lcaldes Municipales, Distritales, Autoridades Metropolitanas y Secretarías de Tránsito y/o de Movilidad</w:t>
      </w:r>
      <w:r w:rsidR="007A1414">
        <w:rPr>
          <w:rFonts w:ascii="Arial Narrow" w:hAnsi="Arial Narrow" w:cs="Arial"/>
          <w:bCs/>
          <w:i/>
          <w:iCs/>
          <w:sz w:val="24"/>
          <w:szCs w:val="24"/>
        </w:rPr>
        <w:t>”.</w:t>
      </w:r>
      <w:r w:rsidR="007A1414" w:rsidRPr="007A1414">
        <w:rPr>
          <w:rStyle w:val="Refdenotaalpie"/>
          <w:rFonts w:ascii="Arial Narrow" w:hAnsi="Arial Narrow" w:cs="Arial"/>
          <w:bCs/>
          <w:sz w:val="24"/>
          <w:szCs w:val="24"/>
        </w:rPr>
        <w:footnoteReference w:id="13"/>
      </w:r>
    </w:p>
    <w:p w14:paraId="29EBF7CB" w14:textId="5C8DDF51" w:rsidR="007A1414" w:rsidRDefault="007A1414" w:rsidP="007A1414">
      <w:pPr>
        <w:pStyle w:val="Sinespaciado"/>
        <w:tabs>
          <w:tab w:val="left" w:pos="284"/>
        </w:tabs>
        <w:contextualSpacing/>
        <w:jc w:val="both"/>
        <w:rPr>
          <w:rFonts w:ascii="Arial Narrow" w:hAnsi="Arial Narrow" w:cs="Arial"/>
          <w:bCs/>
          <w:i/>
          <w:iCs/>
          <w:sz w:val="24"/>
          <w:szCs w:val="24"/>
        </w:rPr>
      </w:pPr>
    </w:p>
    <w:p w14:paraId="49BD0596" w14:textId="0F8F3F89" w:rsidR="007A1414" w:rsidRPr="007A1414" w:rsidRDefault="007A1414" w:rsidP="007A1414">
      <w:pPr>
        <w:spacing w:after="0" w:line="240" w:lineRule="auto"/>
        <w:contextualSpacing/>
        <w:jc w:val="both"/>
        <w:rPr>
          <w:rFonts w:ascii="Arial Narrow" w:hAnsi="Arial Narrow" w:cs="Arial"/>
          <w:bCs/>
          <w:i/>
          <w:iCs/>
          <w:sz w:val="24"/>
          <w:szCs w:val="24"/>
          <w:lang w:val="es-CO"/>
        </w:rPr>
      </w:pPr>
      <w:r w:rsidRPr="007A1414">
        <w:rPr>
          <w:rFonts w:ascii="Arial Narrow" w:hAnsi="Arial Narrow" w:cs="Arial"/>
          <w:bCs/>
          <w:sz w:val="24"/>
          <w:szCs w:val="24"/>
          <w:lang w:val="es-CO"/>
        </w:rPr>
        <w:t xml:space="preserve">Dentro de las obligaciones previstas en dicha resolución, se indicó que </w:t>
      </w:r>
      <w:r w:rsidRPr="007A1414">
        <w:rPr>
          <w:rFonts w:ascii="Arial Narrow" w:hAnsi="Arial Narrow" w:cs="Arial"/>
          <w:bCs/>
          <w:i/>
          <w:iCs/>
          <w:sz w:val="24"/>
          <w:szCs w:val="24"/>
          <w:lang w:val="es-CO"/>
        </w:rPr>
        <w:t>“</w:t>
      </w:r>
      <w:r w:rsidRPr="007A1414">
        <w:rPr>
          <w:rFonts w:ascii="Arial Narrow" w:eastAsia="Calibri" w:hAnsi="Arial Narrow" w:cs="Arial"/>
          <w:b/>
          <w:i/>
          <w:iCs/>
          <w:sz w:val="24"/>
          <w:szCs w:val="24"/>
          <w:lang w:val="es-CO"/>
        </w:rPr>
        <w:t>a</w:t>
      </w:r>
      <w:r w:rsidRPr="007A1414">
        <w:rPr>
          <w:rFonts w:ascii="Arial Narrow" w:eastAsia="Calibri" w:hAnsi="Arial Narrow" w:cs="Arial"/>
          <w:b/>
          <w:i/>
          <w:iCs/>
          <w:sz w:val="24"/>
          <w:szCs w:val="24"/>
          <w:lang w:val="es-CO"/>
        </w:rPr>
        <w:t>ctualizar anualmente el plan estratégico de vigilancia y control del cumplimiento de las normas de transporte y tránsito</w:t>
      </w:r>
      <w:r w:rsidRPr="007A1414">
        <w:rPr>
          <w:rFonts w:ascii="Arial Narrow" w:eastAsia="Calibri" w:hAnsi="Arial Narrow" w:cs="Arial"/>
          <w:bCs/>
          <w:i/>
          <w:iCs/>
          <w:sz w:val="24"/>
          <w:szCs w:val="24"/>
          <w:lang w:val="es-CO"/>
        </w:rPr>
        <w:t xml:space="preserve"> en el cual se determinen entre otros aspectos la ampliación la cobertura, se determinen las estrategias, actividades y recursos necesarios para ejercer eficientemente los procesos contravencionales y el recaudo de las multas, incluyendo la gestión efectiva, eficiente y eficaz de los procesos que se adelanten por jurisdicción coactiva</w:t>
      </w:r>
      <w:r w:rsidRPr="007A1414">
        <w:rPr>
          <w:rFonts w:ascii="Arial Narrow" w:hAnsi="Arial Narrow" w:cs="Arial"/>
          <w:bCs/>
          <w:i/>
          <w:iCs/>
          <w:sz w:val="24"/>
          <w:szCs w:val="24"/>
          <w:lang w:val="es-CO"/>
        </w:rPr>
        <w:t>”.</w:t>
      </w:r>
      <w:r w:rsidRPr="007A1414">
        <w:rPr>
          <w:rStyle w:val="Refdenotaalpie"/>
          <w:rFonts w:ascii="Arial Narrow" w:hAnsi="Arial Narrow" w:cs="Arial"/>
          <w:bCs/>
          <w:sz w:val="24"/>
          <w:szCs w:val="24"/>
        </w:rPr>
        <w:footnoteReference w:id="14"/>
      </w:r>
    </w:p>
    <w:p w14:paraId="35CD151E" w14:textId="121304DF" w:rsidR="00EB783E" w:rsidRDefault="00EB783E" w:rsidP="007A1414">
      <w:pPr>
        <w:pStyle w:val="Sinespaciado"/>
        <w:tabs>
          <w:tab w:val="left" w:pos="284"/>
        </w:tabs>
        <w:contextualSpacing/>
        <w:jc w:val="both"/>
        <w:rPr>
          <w:rFonts w:ascii="Arial Narrow" w:hAnsi="Arial Narrow" w:cs="Arial"/>
          <w:bCs/>
          <w:i/>
          <w:iCs/>
          <w:sz w:val="24"/>
          <w:szCs w:val="24"/>
        </w:rPr>
      </w:pPr>
    </w:p>
    <w:p w14:paraId="01535D53" w14:textId="2D852665" w:rsidR="00403CB7" w:rsidRDefault="00403CB7" w:rsidP="007A1414">
      <w:pPr>
        <w:pStyle w:val="Sinespaciado"/>
        <w:tabs>
          <w:tab w:val="left" w:pos="284"/>
        </w:tabs>
        <w:contextualSpacing/>
        <w:jc w:val="both"/>
        <w:rPr>
          <w:rFonts w:ascii="Arial Narrow" w:hAnsi="Arial Narrow" w:cs="Arial"/>
          <w:bCs/>
          <w:i/>
          <w:iCs/>
          <w:sz w:val="24"/>
          <w:szCs w:val="24"/>
        </w:rPr>
      </w:pPr>
      <w:r>
        <w:rPr>
          <w:rFonts w:ascii="Arial Narrow" w:hAnsi="Arial Narrow" w:cs="Arial"/>
          <w:bCs/>
          <w:i/>
          <w:iCs/>
          <w:sz w:val="24"/>
          <w:szCs w:val="24"/>
        </w:rPr>
        <w:t>2.3.</w:t>
      </w:r>
      <w:r w:rsidR="00EB783E">
        <w:rPr>
          <w:rFonts w:ascii="Arial Narrow" w:hAnsi="Arial Narrow" w:cs="Arial"/>
          <w:bCs/>
          <w:i/>
          <w:iCs/>
          <w:sz w:val="24"/>
          <w:szCs w:val="24"/>
        </w:rPr>
        <w:t>3</w:t>
      </w:r>
      <w:r>
        <w:rPr>
          <w:rFonts w:ascii="Arial Narrow" w:hAnsi="Arial Narrow" w:cs="Arial"/>
          <w:bCs/>
          <w:i/>
          <w:iCs/>
          <w:sz w:val="24"/>
          <w:szCs w:val="24"/>
        </w:rPr>
        <w:t xml:space="preserve"> Aplicación de leyes distintas a </w:t>
      </w:r>
      <w:r w:rsidR="00957E96">
        <w:rPr>
          <w:rFonts w:ascii="Arial Narrow" w:hAnsi="Arial Narrow" w:cs="Arial"/>
          <w:bCs/>
          <w:i/>
          <w:iCs/>
          <w:sz w:val="24"/>
          <w:szCs w:val="24"/>
        </w:rPr>
        <w:t>una misma conducta</w:t>
      </w:r>
    </w:p>
    <w:p w14:paraId="762FDA58" w14:textId="30E3BB96" w:rsidR="00403CB7" w:rsidRDefault="00403CB7" w:rsidP="007A1414">
      <w:pPr>
        <w:pStyle w:val="Sinespaciado"/>
        <w:tabs>
          <w:tab w:val="left" w:pos="284"/>
        </w:tabs>
        <w:contextualSpacing/>
        <w:jc w:val="both"/>
        <w:rPr>
          <w:rFonts w:ascii="Arial Narrow" w:hAnsi="Arial Narrow" w:cs="Arial"/>
          <w:sz w:val="24"/>
          <w:szCs w:val="24"/>
        </w:rPr>
      </w:pPr>
    </w:p>
    <w:p w14:paraId="2BA03C84" w14:textId="7A3CA1EA" w:rsidR="007A1414" w:rsidRPr="00775E4C" w:rsidRDefault="007A1414" w:rsidP="007A1414">
      <w:pPr>
        <w:pStyle w:val="Sinespaciado"/>
        <w:tabs>
          <w:tab w:val="left" w:pos="284"/>
        </w:tabs>
        <w:contextualSpacing/>
        <w:jc w:val="both"/>
        <w:rPr>
          <w:rFonts w:ascii="Arial Narrow" w:hAnsi="Arial Narrow" w:cs="Arial"/>
          <w:sz w:val="24"/>
          <w:szCs w:val="24"/>
        </w:rPr>
      </w:pPr>
      <w:r>
        <w:rPr>
          <w:rFonts w:ascii="Arial Narrow" w:hAnsi="Arial Narrow" w:cs="Arial"/>
          <w:sz w:val="24"/>
          <w:szCs w:val="24"/>
        </w:rPr>
        <w:t>Una misma conducta es susceptible de infringir varios regímenes y generar consecuencias diferentes, siempre que los regímenes infringidos sean distintos.</w:t>
      </w:r>
      <w:r w:rsidR="00775E4C">
        <w:rPr>
          <w:rFonts w:ascii="Arial Narrow" w:hAnsi="Arial Narrow" w:cs="Arial"/>
          <w:sz w:val="24"/>
          <w:szCs w:val="24"/>
        </w:rPr>
        <w:t xml:space="preserve"> </w:t>
      </w:r>
    </w:p>
    <w:p w14:paraId="58404F7F" w14:textId="36369859" w:rsidR="007A1414" w:rsidRDefault="007A1414" w:rsidP="007A1414">
      <w:pPr>
        <w:pStyle w:val="Sinespaciado"/>
        <w:tabs>
          <w:tab w:val="left" w:pos="284"/>
        </w:tabs>
        <w:contextualSpacing/>
        <w:jc w:val="both"/>
        <w:rPr>
          <w:rFonts w:ascii="Arial Narrow" w:hAnsi="Arial Narrow" w:cs="Arial"/>
          <w:sz w:val="24"/>
          <w:szCs w:val="24"/>
        </w:rPr>
      </w:pPr>
    </w:p>
    <w:p w14:paraId="420EC15E" w14:textId="4990BF25" w:rsidR="007A1414" w:rsidRDefault="007A1414" w:rsidP="007A1414">
      <w:pPr>
        <w:pStyle w:val="Sinespaciado"/>
        <w:tabs>
          <w:tab w:val="left" w:pos="284"/>
        </w:tabs>
        <w:contextualSpacing/>
        <w:jc w:val="both"/>
        <w:rPr>
          <w:rFonts w:ascii="Arial Narrow" w:hAnsi="Arial Narrow" w:cs="Arial"/>
          <w:sz w:val="24"/>
          <w:szCs w:val="24"/>
        </w:rPr>
      </w:pPr>
      <w:r>
        <w:rPr>
          <w:rFonts w:ascii="Arial Narrow" w:hAnsi="Arial Narrow" w:cs="Arial"/>
          <w:sz w:val="24"/>
          <w:szCs w:val="24"/>
        </w:rPr>
        <w:t xml:space="preserve">Considerando que el régimen de tránsito terrestre </w:t>
      </w:r>
      <w:r w:rsidR="00957E96">
        <w:rPr>
          <w:rFonts w:ascii="Arial Narrow" w:hAnsi="Arial Narrow" w:cs="Arial"/>
          <w:sz w:val="24"/>
          <w:szCs w:val="24"/>
        </w:rPr>
        <w:t xml:space="preserve">(ley 769 de 2002) </w:t>
      </w:r>
      <w:r>
        <w:rPr>
          <w:rFonts w:ascii="Arial Narrow" w:hAnsi="Arial Narrow" w:cs="Arial"/>
          <w:sz w:val="24"/>
          <w:szCs w:val="24"/>
        </w:rPr>
        <w:t>es diferente del régimen de transporte terrestre</w:t>
      </w:r>
      <w:r w:rsidR="00957E96">
        <w:rPr>
          <w:rFonts w:ascii="Arial Narrow" w:hAnsi="Arial Narrow" w:cs="Arial"/>
          <w:sz w:val="24"/>
          <w:szCs w:val="24"/>
        </w:rPr>
        <w:t xml:space="preserve"> (ley 105 de 1993 y ley 336 de 1996)</w:t>
      </w:r>
      <w:r>
        <w:rPr>
          <w:rFonts w:ascii="Arial Narrow" w:hAnsi="Arial Narrow" w:cs="Arial"/>
          <w:sz w:val="24"/>
          <w:szCs w:val="24"/>
        </w:rPr>
        <w:t>,</w:t>
      </w:r>
      <w:r>
        <w:rPr>
          <w:rStyle w:val="Refdenotaalpie"/>
          <w:rFonts w:ascii="Arial Narrow" w:hAnsi="Arial Narrow" w:cs="Arial"/>
          <w:sz w:val="24"/>
          <w:szCs w:val="24"/>
        </w:rPr>
        <w:footnoteReference w:id="15"/>
      </w:r>
      <w:r w:rsidR="00957E96">
        <w:rPr>
          <w:rFonts w:ascii="Arial Narrow" w:hAnsi="Arial Narrow" w:cs="Arial"/>
          <w:sz w:val="24"/>
          <w:szCs w:val="24"/>
        </w:rPr>
        <w:t xml:space="preserve"> </w:t>
      </w:r>
      <w:r w:rsidR="00775E4C">
        <w:rPr>
          <w:rFonts w:ascii="Arial Narrow" w:hAnsi="Arial Narrow" w:cs="Arial"/>
          <w:sz w:val="24"/>
          <w:szCs w:val="24"/>
        </w:rPr>
        <w:t xml:space="preserve">y a su vez los dos anteriores son diferentes del régimen de protección de consumidores y usuarios (ley 1480 de 2011), </w:t>
      </w:r>
      <w:r w:rsidR="00957E96">
        <w:rPr>
          <w:rFonts w:ascii="Arial Narrow" w:hAnsi="Arial Narrow" w:cs="Arial"/>
          <w:sz w:val="24"/>
          <w:szCs w:val="24"/>
        </w:rPr>
        <w:t xml:space="preserve">es posible que una misma conducta infrinja </w:t>
      </w:r>
      <w:r w:rsidR="00775E4C">
        <w:rPr>
          <w:rFonts w:ascii="Arial Narrow" w:hAnsi="Arial Narrow" w:cs="Arial"/>
          <w:sz w:val="24"/>
          <w:szCs w:val="24"/>
        </w:rPr>
        <w:t xml:space="preserve">más de uno de esos </w:t>
      </w:r>
      <w:r w:rsidR="00957E96">
        <w:rPr>
          <w:rFonts w:ascii="Arial Narrow" w:hAnsi="Arial Narrow" w:cs="Arial"/>
          <w:sz w:val="24"/>
          <w:szCs w:val="24"/>
        </w:rPr>
        <w:t xml:space="preserve">regímenes.  </w:t>
      </w:r>
      <w:r>
        <w:rPr>
          <w:rFonts w:ascii="Arial Narrow" w:hAnsi="Arial Narrow" w:cs="Arial"/>
          <w:sz w:val="24"/>
          <w:szCs w:val="24"/>
        </w:rPr>
        <w:t xml:space="preserve"> </w:t>
      </w:r>
    </w:p>
    <w:p w14:paraId="5101C8A8" w14:textId="4C7BA32E" w:rsidR="00775E4C" w:rsidRDefault="00775E4C" w:rsidP="007A1414">
      <w:pPr>
        <w:pStyle w:val="Sinespaciado"/>
        <w:tabs>
          <w:tab w:val="left" w:pos="284"/>
        </w:tabs>
        <w:contextualSpacing/>
        <w:jc w:val="both"/>
        <w:rPr>
          <w:rFonts w:ascii="Arial Narrow" w:hAnsi="Arial Narrow" w:cs="Arial"/>
          <w:sz w:val="24"/>
          <w:szCs w:val="24"/>
        </w:rPr>
      </w:pPr>
    </w:p>
    <w:p w14:paraId="05117EFC" w14:textId="77777777" w:rsidR="00775E4C" w:rsidRDefault="00775E4C" w:rsidP="007A1414">
      <w:pPr>
        <w:pStyle w:val="Sinespaciado"/>
        <w:tabs>
          <w:tab w:val="left" w:pos="284"/>
        </w:tabs>
        <w:contextualSpacing/>
        <w:jc w:val="both"/>
        <w:rPr>
          <w:rFonts w:ascii="Arial Narrow" w:hAnsi="Arial Narrow" w:cs="Arial"/>
          <w:sz w:val="24"/>
          <w:szCs w:val="24"/>
        </w:rPr>
      </w:pPr>
      <w:r>
        <w:rPr>
          <w:rFonts w:ascii="Arial Narrow" w:hAnsi="Arial Narrow" w:cs="Arial"/>
          <w:sz w:val="24"/>
          <w:szCs w:val="24"/>
        </w:rPr>
        <w:t>A modo de ejemplo, la conducta tipificada en el literal D12 del artículo 131 de la ley 769 de 2002</w:t>
      </w:r>
      <w:r>
        <w:rPr>
          <w:rStyle w:val="Refdenotaalpie"/>
          <w:rFonts w:ascii="Arial Narrow" w:hAnsi="Arial Narrow" w:cs="Arial"/>
          <w:sz w:val="24"/>
          <w:szCs w:val="24"/>
        </w:rPr>
        <w:footnoteReference w:id="16"/>
      </w:r>
      <w:r>
        <w:rPr>
          <w:rFonts w:ascii="Arial Narrow" w:hAnsi="Arial Narrow" w:cs="Arial"/>
          <w:sz w:val="24"/>
          <w:szCs w:val="24"/>
        </w:rPr>
        <w:t xml:space="preserve"> reprocha la destinación de vehículos particulares para </w:t>
      </w:r>
      <w:r w:rsidRPr="00775E4C">
        <w:rPr>
          <w:rFonts w:ascii="Arial Narrow" w:hAnsi="Arial Narrow" w:cs="Arial"/>
          <w:sz w:val="24"/>
          <w:szCs w:val="24"/>
        </w:rPr>
        <w:t>un servicio diferente de aquel para el cual tiene licencia de tránsito</w:t>
      </w:r>
      <w:r>
        <w:rPr>
          <w:rFonts w:ascii="Arial Narrow" w:hAnsi="Arial Narrow" w:cs="Arial"/>
          <w:sz w:val="24"/>
          <w:szCs w:val="24"/>
        </w:rPr>
        <w:t xml:space="preserve"> (v.gr. la prestación de transporte público)</w:t>
      </w:r>
      <w:r w:rsidRPr="00775E4C">
        <w:rPr>
          <w:rFonts w:ascii="Arial Narrow" w:hAnsi="Arial Narrow" w:cs="Arial"/>
          <w:sz w:val="24"/>
          <w:szCs w:val="24"/>
        </w:rPr>
        <w:t>.</w:t>
      </w:r>
      <w:r>
        <w:rPr>
          <w:rFonts w:ascii="Arial Narrow" w:hAnsi="Arial Narrow" w:cs="Arial"/>
          <w:sz w:val="24"/>
          <w:szCs w:val="24"/>
        </w:rPr>
        <w:t xml:space="preserve">  </w:t>
      </w:r>
    </w:p>
    <w:p w14:paraId="617E38F6" w14:textId="77777777" w:rsidR="00775E4C" w:rsidRDefault="00775E4C" w:rsidP="007A1414">
      <w:pPr>
        <w:pStyle w:val="Sinespaciado"/>
        <w:tabs>
          <w:tab w:val="left" w:pos="284"/>
        </w:tabs>
        <w:contextualSpacing/>
        <w:jc w:val="both"/>
        <w:rPr>
          <w:rFonts w:ascii="Arial Narrow" w:hAnsi="Arial Narrow" w:cs="Arial"/>
          <w:sz w:val="24"/>
          <w:szCs w:val="24"/>
        </w:rPr>
      </w:pPr>
    </w:p>
    <w:p w14:paraId="3E3006DC" w14:textId="3E12A9A5" w:rsidR="00775E4C" w:rsidRDefault="00775E4C" w:rsidP="007A1414">
      <w:pPr>
        <w:pStyle w:val="Sinespaciado"/>
        <w:tabs>
          <w:tab w:val="left" w:pos="284"/>
        </w:tabs>
        <w:contextualSpacing/>
        <w:jc w:val="both"/>
        <w:rPr>
          <w:rFonts w:ascii="Arial Narrow" w:hAnsi="Arial Narrow" w:cs="Arial"/>
          <w:sz w:val="24"/>
          <w:szCs w:val="24"/>
        </w:rPr>
      </w:pPr>
      <w:r>
        <w:rPr>
          <w:rFonts w:ascii="Arial Narrow" w:hAnsi="Arial Narrow" w:cs="Arial"/>
          <w:sz w:val="24"/>
          <w:szCs w:val="24"/>
        </w:rPr>
        <w:t xml:space="preserve">Del mismo modo, en la ley 336 de 1996 se </w:t>
      </w:r>
      <w:r w:rsidR="00111922">
        <w:rPr>
          <w:rFonts w:ascii="Arial Narrow" w:hAnsi="Arial Narrow" w:cs="Arial"/>
          <w:sz w:val="24"/>
          <w:szCs w:val="24"/>
        </w:rPr>
        <w:t xml:space="preserve">puede </w:t>
      </w:r>
      <w:r>
        <w:rPr>
          <w:rFonts w:ascii="Arial Narrow" w:hAnsi="Arial Narrow" w:cs="Arial"/>
          <w:sz w:val="24"/>
          <w:szCs w:val="24"/>
        </w:rPr>
        <w:t>considera</w:t>
      </w:r>
      <w:r w:rsidR="00111922">
        <w:rPr>
          <w:rFonts w:ascii="Arial Narrow" w:hAnsi="Arial Narrow" w:cs="Arial"/>
          <w:sz w:val="24"/>
          <w:szCs w:val="24"/>
        </w:rPr>
        <w:t>r</w:t>
      </w:r>
      <w:r>
        <w:rPr>
          <w:rFonts w:ascii="Arial Narrow" w:hAnsi="Arial Narrow" w:cs="Arial"/>
          <w:sz w:val="24"/>
          <w:szCs w:val="24"/>
        </w:rPr>
        <w:t xml:space="preserve"> una infracción</w:t>
      </w:r>
      <w:r w:rsidR="00111922">
        <w:rPr>
          <w:rFonts w:ascii="Arial Narrow" w:hAnsi="Arial Narrow" w:cs="Arial"/>
          <w:sz w:val="24"/>
          <w:szCs w:val="24"/>
        </w:rPr>
        <w:t xml:space="preserve"> la realización de operaciones de transporte público con vehículos particulares, en la medida que se estaría prestando con vehículos que no están ni matriculados ni homologados para tal fin,</w:t>
      </w:r>
      <w:r w:rsidR="00111922">
        <w:rPr>
          <w:rStyle w:val="Refdenotaalpie"/>
          <w:rFonts w:ascii="Arial Narrow" w:hAnsi="Arial Narrow" w:cs="Arial"/>
          <w:sz w:val="24"/>
          <w:szCs w:val="24"/>
        </w:rPr>
        <w:footnoteReference w:id="17"/>
      </w:r>
      <w:r w:rsidR="00D94326">
        <w:rPr>
          <w:rFonts w:ascii="Arial Narrow" w:hAnsi="Arial Narrow" w:cs="Arial"/>
          <w:sz w:val="24"/>
          <w:szCs w:val="24"/>
        </w:rPr>
        <w:t xml:space="preserve"> posiblemente con conductores que no cuentan con la licencia de conducción para realizar operaciones de transporte público,</w:t>
      </w:r>
      <w:r w:rsidR="00D94326">
        <w:rPr>
          <w:rStyle w:val="Refdenotaalpie"/>
          <w:rFonts w:ascii="Arial Narrow" w:hAnsi="Arial Narrow" w:cs="Arial"/>
          <w:sz w:val="24"/>
          <w:szCs w:val="24"/>
        </w:rPr>
        <w:footnoteReference w:id="18"/>
      </w:r>
      <w:r w:rsidR="00D94326">
        <w:rPr>
          <w:rFonts w:ascii="Arial Narrow" w:hAnsi="Arial Narrow" w:cs="Arial"/>
          <w:sz w:val="24"/>
          <w:szCs w:val="24"/>
        </w:rPr>
        <w:t xml:space="preserve"> operando sin la habilitación ni los permisos de operación requeridos,</w:t>
      </w:r>
      <w:r w:rsidR="00D94326">
        <w:rPr>
          <w:rStyle w:val="Refdenotaalpie"/>
          <w:rFonts w:ascii="Arial Narrow" w:hAnsi="Arial Narrow" w:cs="Arial"/>
          <w:sz w:val="24"/>
          <w:szCs w:val="24"/>
        </w:rPr>
        <w:footnoteReference w:id="19"/>
      </w:r>
      <w:r w:rsidR="00D94326">
        <w:rPr>
          <w:rFonts w:ascii="Arial Narrow" w:hAnsi="Arial Narrow" w:cs="Arial"/>
          <w:sz w:val="24"/>
          <w:szCs w:val="24"/>
        </w:rPr>
        <w:t xml:space="preserve"> entre otros. </w:t>
      </w:r>
    </w:p>
    <w:p w14:paraId="6D02E7D8" w14:textId="23853F8F" w:rsidR="00D94326" w:rsidRDefault="00D94326" w:rsidP="007A1414">
      <w:pPr>
        <w:pStyle w:val="Sinespaciado"/>
        <w:tabs>
          <w:tab w:val="left" w:pos="284"/>
        </w:tabs>
        <w:contextualSpacing/>
        <w:jc w:val="both"/>
        <w:rPr>
          <w:rFonts w:ascii="Arial Narrow" w:hAnsi="Arial Narrow" w:cs="Arial"/>
          <w:sz w:val="24"/>
          <w:szCs w:val="24"/>
        </w:rPr>
      </w:pPr>
    </w:p>
    <w:p w14:paraId="49E40E9D" w14:textId="265F120B" w:rsidR="00D94326" w:rsidRDefault="00D94326" w:rsidP="007A1414">
      <w:pPr>
        <w:pStyle w:val="Sinespaciado"/>
        <w:tabs>
          <w:tab w:val="left" w:pos="284"/>
        </w:tabs>
        <w:contextualSpacing/>
        <w:jc w:val="both"/>
        <w:rPr>
          <w:rFonts w:ascii="Arial Narrow" w:hAnsi="Arial Narrow" w:cs="Arial"/>
          <w:sz w:val="24"/>
          <w:szCs w:val="24"/>
        </w:rPr>
      </w:pPr>
      <w:r>
        <w:rPr>
          <w:rFonts w:ascii="Arial Narrow" w:hAnsi="Arial Narrow" w:cs="Arial"/>
          <w:sz w:val="24"/>
          <w:szCs w:val="24"/>
        </w:rPr>
        <w:t xml:space="preserve">Por lo tanto, una misma conducta (realización de operaciones de transporte público utilizando vehículos particulares) puede infringir disposiciones de las leyes de tránsito terrestre, la de transporte terrestre, entre otras.   Considerando el grave problema que supone para los habitantes del país </w:t>
      </w:r>
      <w:r w:rsidR="00F52BB9">
        <w:rPr>
          <w:rFonts w:ascii="Arial Narrow" w:hAnsi="Arial Narrow" w:cs="Arial"/>
          <w:sz w:val="24"/>
          <w:szCs w:val="24"/>
        </w:rPr>
        <w:t xml:space="preserve">quedar a merced del transporte ilegal, la Superintendencia hace un llamado a las autoridades con funciones de aplicar las leyes de tránsito y de transporte para que apliquen dentro de su jurisdicción a la prestación de transporte ilegal todas las consecuencias previstas por el legislador en las distintas normas, como las anteriormente mencionadas, cuando haya mérito para ello. </w:t>
      </w:r>
    </w:p>
    <w:p w14:paraId="192A5281" w14:textId="77777777" w:rsidR="00403CB7" w:rsidRDefault="00403CB7" w:rsidP="007A1414">
      <w:pPr>
        <w:pStyle w:val="Sinespaciado"/>
        <w:tabs>
          <w:tab w:val="left" w:pos="284"/>
        </w:tabs>
        <w:contextualSpacing/>
        <w:jc w:val="both"/>
        <w:rPr>
          <w:rFonts w:ascii="Arial Narrow" w:hAnsi="Arial Narrow" w:cs="Arial"/>
          <w:sz w:val="24"/>
          <w:szCs w:val="24"/>
        </w:rPr>
      </w:pPr>
    </w:p>
    <w:p w14:paraId="2A5EBC1D" w14:textId="77777777" w:rsidR="00403CB7" w:rsidRDefault="00403CB7" w:rsidP="007A1414">
      <w:pPr>
        <w:pStyle w:val="Sinespaciado"/>
        <w:tabs>
          <w:tab w:val="left" w:pos="284"/>
        </w:tabs>
        <w:contextualSpacing/>
        <w:jc w:val="both"/>
        <w:rPr>
          <w:rFonts w:ascii="Arial Narrow" w:hAnsi="Arial Narrow" w:cs="Arial"/>
          <w:sz w:val="24"/>
          <w:szCs w:val="24"/>
        </w:rPr>
      </w:pPr>
      <w:r>
        <w:rPr>
          <w:rFonts w:ascii="Arial Narrow" w:hAnsi="Arial Narrow" w:cs="Arial"/>
          <w:sz w:val="24"/>
          <w:szCs w:val="24"/>
        </w:rPr>
        <w:t>La presente circular se publicó para comentarios en la página web de la Superintendencia de Transporte, cuyos soportes reposan en la Oficina Asesora Jurídica de la entidad.</w:t>
      </w:r>
    </w:p>
    <w:p w14:paraId="0F635D1C" w14:textId="77777777" w:rsidR="00403CB7" w:rsidRPr="00403CB7" w:rsidRDefault="00403CB7" w:rsidP="007A1414">
      <w:pPr>
        <w:spacing w:after="0" w:line="240" w:lineRule="auto"/>
        <w:contextualSpacing/>
        <w:rPr>
          <w:lang w:val="es-CO"/>
        </w:rPr>
      </w:pPr>
    </w:p>
    <w:p w14:paraId="4F95C507" w14:textId="77777777" w:rsidR="005B4105" w:rsidRPr="002D1BB0" w:rsidRDefault="00E42937" w:rsidP="007A1414">
      <w:pPr>
        <w:pStyle w:val="Sinespaciado"/>
        <w:numPr>
          <w:ilvl w:val="0"/>
          <w:numId w:val="1"/>
        </w:numPr>
        <w:tabs>
          <w:tab w:val="left" w:pos="284"/>
        </w:tabs>
        <w:ind w:left="0" w:firstLine="0"/>
        <w:contextualSpacing/>
        <w:jc w:val="both"/>
        <w:rPr>
          <w:rFonts w:ascii="Arial Narrow" w:hAnsi="Arial Narrow" w:cs="Arial"/>
          <w:b/>
          <w:sz w:val="24"/>
          <w:szCs w:val="24"/>
        </w:rPr>
      </w:pPr>
      <w:r w:rsidRPr="002D1BB0">
        <w:rPr>
          <w:rFonts w:ascii="Arial Narrow" w:hAnsi="Arial Narrow" w:cs="Arial"/>
          <w:b/>
          <w:sz w:val="24"/>
          <w:szCs w:val="24"/>
        </w:rPr>
        <w:t xml:space="preserve"> </w:t>
      </w:r>
      <w:r w:rsidR="005B4105" w:rsidRPr="002D1BB0">
        <w:rPr>
          <w:rFonts w:ascii="Arial Narrow" w:hAnsi="Arial Narrow" w:cs="Arial"/>
          <w:b/>
          <w:sz w:val="24"/>
          <w:szCs w:val="24"/>
        </w:rPr>
        <w:t>Vigencia</w:t>
      </w:r>
    </w:p>
    <w:p w14:paraId="3FB47E6D" w14:textId="77777777" w:rsidR="005B4105" w:rsidRPr="002D1BB0" w:rsidRDefault="005B4105" w:rsidP="007A1414">
      <w:pPr>
        <w:pStyle w:val="Sinespaciado"/>
        <w:tabs>
          <w:tab w:val="left" w:pos="284"/>
        </w:tabs>
        <w:contextualSpacing/>
        <w:jc w:val="both"/>
        <w:rPr>
          <w:rFonts w:ascii="Arial Narrow" w:hAnsi="Arial Narrow" w:cs="Arial"/>
          <w:sz w:val="24"/>
          <w:szCs w:val="24"/>
        </w:rPr>
      </w:pPr>
    </w:p>
    <w:p w14:paraId="0A62F01F" w14:textId="5EE36531" w:rsidR="005B4105" w:rsidRPr="002D1BB0" w:rsidRDefault="005B4105" w:rsidP="007A1414">
      <w:pPr>
        <w:pStyle w:val="Sinespaciado"/>
        <w:tabs>
          <w:tab w:val="left" w:pos="284"/>
        </w:tabs>
        <w:contextualSpacing/>
        <w:jc w:val="both"/>
        <w:rPr>
          <w:rFonts w:ascii="Arial Narrow" w:hAnsi="Arial Narrow" w:cs="Arial"/>
          <w:sz w:val="24"/>
          <w:szCs w:val="24"/>
        </w:rPr>
      </w:pPr>
      <w:r w:rsidRPr="002D1BB0">
        <w:rPr>
          <w:rFonts w:ascii="Arial Narrow" w:hAnsi="Arial Narrow" w:cs="Arial"/>
          <w:sz w:val="24"/>
          <w:szCs w:val="24"/>
        </w:rPr>
        <w:t xml:space="preserve">La presente </w:t>
      </w:r>
      <w:r w:rsidR="007742AF">
        <w:rPr>
          <w:rFonts w:ascii="Arial Narrow" w:hAnsi="Arial Narrow" w:cs="Arial"/>
          <w:sz w:val="24"/>
          <w:szCs w:val="24"/>
        </w:rPr>
        <w:t>c</w:t>
      </w:r>
      <w:r w:rsidRPr="002D1BB0">
        <w:rPr>
          <w:rFonts w:ascii="Arial Narrow" w:hAnsi="Arial Narrow" w:cs="Arial"/>
          <w:sz w:val="24"/>
          <w:szCs w:val="24"/>
        </w:rPr>
        <w:t>ircular rige a partir de su publicación.</w:t>
      </w:r>
    </w:p>
    <w:p w14:paraId="10A2848B" w14:textId="77777777" w:rsidR="005B4105" w:rsidRPr="002D1BB0" w:rsidRDefault="005B4105" w:rsidP="007A1414">
      <w:pPr>
        <w:pStyle w:val="Sinespaciado"/>
        <w:tabs>
          <w:tab w:val="left" w:pos="284"/>
        </w:tabs>
        <w:contextualSpacing/>
        <w:jc w:val="both"/>
        <w:rPr>
          <w:rFonts w:ascii="Arial Narrow" w:hAnsi="Arial Narrow" w:cs="Arial"/>
          <w:sz w:val="24"/>
          <w:szCs w:val="24"/>
        </w:rPr>
      </w:pPr>
    </w:p>
    <w:p w14:paraId="45C39393" w14:textId="77777777" w:rsidR="005B4105" w:rsidRPr="002D1BB0" w:rsidRDefault="005B4105" w:rsidP="007A1414">
      <w:pPr>
        <w:pStyle w:val="Sinespaciado"/>
        <w:tabs>
          <w:tab w:val="left" w:pos="284"/>
        </w:tabs>
        <w:contextualSpacing/>
        <w:jc w:val="both"/>
        <w:rPr>
          <w:rFonts w:ascii="Arial Narrow" w:hAnsi="Arial Narrow" w:cs="Arial"/>
          <w:sz w:val="24"/>
          <w:szCs w:val="24"/>
        </w:rPr>
      </w:pPr>
      <w:r w:rsidRPr="002D1BB0">
        <w:rPr>
          <w:rFonts w:ascii="Arial Narrow" w:hAnsi="Arial Narrow" w:cs="Arial"/>
          <w:b/>
          <w:sz w:val="24"/>
          <w:szCs w:val="24"/>
        </w:rPr>
        <w:t xml:space="preserve">PUBLÍQUESE </w:t>
      </w:r>
      <w:r w:rsidRPr="002D1BB0">
        <w:rPr>
          <w:rFonts w:ascii="Arial Narrow" w:hAnsi="Arial Narrow" w:cs="Arial"/>
          <w:sz w:val="24"/>
          <w:szCs w:val="24"/>
        </w:rPr>
        <w:t>en el Diario Oficial y en la página web oficial de la Superintendencia de Transporte.</w:t>
      </w:r>
    </w:p>
    <w:p w14:paraId="7B014863" w14:textId="77777777" w:rsidR="005B4105" w:rsidRPr="002D1BB0" w:rsidRDefault="005B4105" w:rsidP="007A1414">
      <w:pPr>
        <w:pStyle w:val="Sinespaciado"/>
        <w:tabs>
          <w:tab w:val="left" w:pos="284"/>
        </w:tabs>
        <w:contextualSpacing/>
        <w:jc w:val="both"/>
        <w:rPr>
          <w:rFonts w:ascii="Arial Narrow" w:hAnsi="Arial Narrow" w:cs="Arial"/>
          <w:b/>
          <w:sz w:val="24"/>
          <w:szCs w:val="24"/>
        </w:rPr>
      </w:pPr>
    </w:p>
    <w:p w14:paraId="7B4303EF" w14:textId="77777777" w:rsidR="005B4105" w:rsidRPr="002D1BB0" w:rsidRDefault="005B4105" w:rsidP="007A1414">
      <w:pPr>
        <w:pStyle w:val="Sinespaciado"/>
        <w:tabs>
          <w:tab w:val="left" w:pos="284"/>
        </w:tabs>
        <w:contextualSpacing/>
        <w:jc w:val="both"/>
        <w:rPr>
          <w:rFonts w:ascii="Arial Narrow" w:hAnsi="Arial Narrow" w:cs="Arial"/>
          <w:sz w:val="24"/>
          <w:szCs w:val="24"/>
        </w:rPr>
      </w:pPr>
    </w:p>
    <w:p w14:paraId="54FADF55" w14:textId="77777777" w:rsidR="005B4105" w:rsidRPr="002D1BB0" w:rsidRDefault="005B4105" w:rsidP="007A1414">
      <w:pPr>
        <w:spacing w:after="0" w:line="240" w:lineRule="auto"/>
        <w:contextualSpacing/>
        <w:jc w:val="center"/>
        <w:rPr>
          <w:rFonts w:ascii="Arial Narrow" w:hAnsi="Arial Narrow" w:cs="Arial"/>
          <w:b/>
          <w:sz w:val="24"/>
          <w:szCs w:val="24"/>
          <w:lang w:val="es-CO"/>
        </w:rPr>
      </w:pPr>
      <w:r w:rsidRPr="002D1BB0">
        <w:rPr>
          <w:rFonts w:ascii="Arial Narrow" w:hAnsi="Arial Narrow" w:cs="Arial"/>
          <w:b/>
          <w:sz w:val="24"/>
          <w:szCs w:val="24"/>
          <w:lang w:val="es-CO"/>
        </w:rPr>
        <w:t>PUBLÍQUESE Y CÚMPLASE</w:t>
      </w:r>
    </w:p>
    <w:p w14:paraId="3756B54B" w14:textId="77777777" w:rsidR="005B4105" w:rsidRPr="002D1BB0" w:rsidRDefault="005B4105" w:rsidP="007A1414">
      <w:pPr>
        <w:spacing w:after="0" w:line="240" w:lineRule="auto"/>
        <w:contextualSpacing/>
        <w:jc w:val="center"/>
        <w:rPr>
          <w:rFonts w:ascii="Arial Narrow" w:hAnsi="Arial Narrow" w:cs="Arial"/>
          <w:b/>
          <w:sz w:val="24"/>
          <w:szCs w:val="24"/>
          <w:lang w:val="es-CO"/>
        </w:rPr>
      </w:pPr>
    </w:p>
    <w:p w14:paraId="235146D0" w14:textId="77777777" w:rsidR="005B4105" w:rsidRPr="002D1BB0" w:rsidRDefault="005B4105" w:rsidP="007A1414">
      <w:pPr>
        <w:spacing w:after="0" w:line="240" w:lineRule="auto"/>
        <w:contextualSpacing/>
        <w:jc w:val="center"/>
        <w:rPr>
          <w:rFonts w:ascii="Arial Narrow" w:hAnsi="Arial Narrow" w:cs="Arial"/>
          <w:b/>
          <w:sz w:val="24"/>
          <w:szCs w:val="24"/>
          <w:lang w:val="es-CO"/>
        </w:rPr>
      </w:pPr>
    </w:p>
    <w:p w14:paraId="00166DB6" w14:textId="77777777" w:rsidR="005B4105" w:rsidRPr="002D1BB0" w:rsidRDefault="005B4105" w:rsidP="007A1414">
      <w:pPr>
        <w:spacing w:after="0" w:line="240" w:lineRule="auto"/>
        <w:contextualSpacing/>
        <w:jc w:val="center"/>
        <w:rPr>
          <w:rFonts w:ascii="Arial Narrow" w:hAnsi="Arial Narrow"/>
          <w:b/>
          <w:bCs/>
          <w:color w:val="212529"/>
          <w:sz w:val="24"/>
          <w:szCs w:val="24"/>
          <w:lang w:val="es-CO"/>
        </w:rPr>
      </w:pPr>
      <w:r w:rsidRPr="002D1BB0">
        <w:rPr>
          <w:rFonts w:ascii="Arial Narrow" w:hAnsi="Arial Narrow"/>
          <w:b/>
          <w:bCs/>
          <w:color w:val="212529"/>
          <w:sz w:val="24"/>
          <w:szCs w:val="24"/>
          <w:lang w:val="es-CO"/>
        </w:rPr>
        <w:t>CAMILO PABÓN ALMANZA</w:t>
      </w:r>
    </w:p>
    <w:p w14:paraId="777B91EA" w14:textId="77777777" w:rsidR="005B4105" w:rsidRPr="002D1BB0" w:rsidRDefault="005B4105" w:rsidP="007A1414">
      <w:pPr>
        <w:spacing w:after="0" w:line="240" w:lineRule="auto"/>
        <w:contextualSpacing/>
        <w:jc w:val="center"/>
        <w:rPr>
          <w:rFonts w:ascii="Arial Narrow" w:hAnsi="Arial Narrow"/>
          <w:color w:val="212529"/>
          <w:sz w:val="24"/>
          <w:szCs w:val="24"/>
          <w:lang w:val="es-CO"/>
        </w:rPr>
      </w:pPr>
      <w:r w:rsidRPr="002D1BB0">
        <w:rPr>
          <w:rFonts w:ascii="Arial Narrow" w:hAnsi="Arial Narrow"/>
          <w:color w:val="212529"/>
          <w:sz w:val="24"/>
          <w:szCs w:val="24"/>
          <w:lang w:val="es-CO"/>
        </w:rPr>
        <w:t>Superintendente de Transporte</w:t>
      </w:r>
    </w:p>
    <w:sectPr w:rsidR="005B4105" w:rsidRPr="002D1BB0" w:rsidSect="00EA6DF8">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26354" w14:textId="77777777" w:rsidR="008F4784" w:rsidRDefault="008F4784" w:rsidP="005B4105">
      <w:pPr>
        <w:spacing w:after="0" w:line="240" w:lineRule="auto"/>
      </w:pPr>
      <w:r>
        <w:separator/>
      </w:r>
    </w:p>
  </w:endnote>
  <w:endnote w:type="continuationSeparator" w:id="0">
    <w:p w14:paraId="79E1BB59" w14:textId="77777777" w:rsidR="008F4784" w:rsidRDefault="008F4784" w:rsidP="005B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7FB61" w14:textId="77777777" w:rsidR="00622D59" w:rsidRDefault="00622D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5932E" w14:textId="77777777" w:rsidR="00EA6DF8" w:rsidRDefault="00740D92">
    <w:pPr>
      <w:pStyle w:val="Piedepgina"/>
    </w:pPr>
    <w:r>
      <w:rPr>
        <w:noProof/>
        <w:lang w:val="es-CO" w:eastAsia="es-CO"/>
      </w:rPr>
      <w:drawing>
        <wp:anchor distT="0" distB="0" distL="114300" distR="114300" simplePos="0" relativeHeight="251661312" behindDoc="0" locked="0" layoutInCell="1" allowOverlap="1" wp14:anchorId="3174D189" wp14:editId="699743BE">
          <wp:simplePos x="0" y="0"/>
          <wp:positionH relativeFrom="column">
            <wp:posOffset>4708295</wp:posOffset>
          </wp:positionH>
          <wp:positionV relativeFrom="paragraph">
            <wp:posOffset>-257810</wp:posOffset>
          </wp:positionV>
          <wp:extent cx="2072050" cy="496570"/>
          <wp:effectExtent l="0" t="0" r="444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16580" cy="50724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4CA9" w14:textId="77777777" w:rsidR="00622D59" w:rsidRDefault="00622D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01A0C" w14:textId="77777777" w:rsidR="008F4784" w:rsidRDefault="008F4784" w:rsidP="005B4105">
      <w:pPr>
        <w:spacing w:after="0" w:line="240" w:lineRule="auto"/>
      </w:pPr>
      <w:r>
        <w:separator/>
      </w:r>
    </w:p>
  </w:footnote>
  <w:footnote w:type="continuationSeparator" w:id="0">
    <w:p w14:paraId="5746357F" w14:textId="77777777" w:rsidR="008F4784" w:rsidRDefault="008F4784" w:rsidP="005B4105">
      <w:pPr>
        <w:spacing w:after="0" w:line="240" w:lineRule="auto"/>
      </w:pPr>
      <w:r>
        <w:continuationSeparator/>
      </w:r>
    </w:p>
  </w:footnote>
  <w:footnote w:id="1">
    <w:p w14:paraId="6B0EBB18" w14:textId="77777777" w:rsidR="005B4105" w:rsidRPr="00D94326" w:rsidRDefault="005B4105" w:rsidP="00D94326">
      <w:pPr>
        <w:pStyle w:val="Textonotapie"/>
        <w:contextualSpacing/>
        <w:jc w:val="both"/>
        <w:rPr>
          <w:rFonts w:ascii="Arial Narrow" w:hAnsi="Arial Narrow"/>
          <w:color w:val="000000" w:themeColor="text1"/>
          <w:lang w:val="es-CO"/>
        </w:rPr>
      </w:pPr>
      <w:r w:rsidRPr="00D94326">
        <w:rPr>
          <w:rStyle w:val="Refdenotaalpie"/>
          <w:rFonts w:ascii="Arial Narrow" w:hAnsi="Arial Narrow"/>
          <w:color w:val="000000" w:themeColor="text1"/>
        </w:rPr>
        <w:footnoteRef/>
      </w:r>
      <w:r w:rsidRPr="00D94326">
        <w:rPr>
          <w:rFonts w:ascii="Arial Narrow" w:hAnsi="Arial Narrow"/>
          <w:color w:val="000000" w:themeColor="text1"/>
          <w:lang w:val="es-CO"/>
        </w:rPr>
        <w:t xml:space="preserve"> Artículo 3 del Decreto 2409 de 2018. “Por el cual se modifica y renueva la estructura de la Superintendencia de Transporte y se dictan otras disposiciones.”</w:t>
      </w:r>
    </w:p>
  </w:footnote>
  <w:footnote w:id="2">
    <w:p w14:paraId="2F2C7737" w14:textId="77777777" w:rsidR="005B4105" w:rsidRPr="00D94326" w:rsidRDefault="005B4105" w:rsidP="00D94326">
      <w:pPr>
        <w:pStyle w:val="Textonotapie"/>
        <w:contextualSpacing/>
        <w:jc w:val="both"/>
        <w:rPr>
          <w:rFonts w:ascii="Arial Narrow" w:hAnsi="Arial Narrow"/>
          <w:color w:val="000000" w:themeColor="text1"/>
          <w:lang w:val="es-CO"/>
        </w:rPr>
      </w:pPr>
      <w:r w:rsidRPr="00D94326">
        <w:rPr>
          <w:rStyle w:val="Refdenotaalpie"/>
          <w:rFonts w:ascii="Arial Narrow" w:hAnsi="Arial Narrow"/>
          <w:color w:val="000000" w:themeColor="text1"/>
        </w:rPr>
        <w:footnoteRef/>
      </w:r>
      <w:r w:rsidRPr="00D94326">
        <w:rPr>
          <w:rFonts w:ascii="Arial Narrow" w:hAnsi="Arial Narrow"/>
          <w:color w:val="000000" w:themeColor="text1"/>
          <w:lang w:val="es-CO"/>
        </w:rPr>
        <w:t xml:space="preserve"> Artículo 4 del Decreto 2409 de 2018. “Por el cual se modifica y renueva la estructura de la Superintendencia de Transporte y se dictan otras disposiciones.”</w:t>
      </w:r>
    </w:p>
  </w:footnote>
  <w:footnote w:id="3">
    <w:p w14:paraId="57E6373F" w14:textId="77777777" w:rsidR="005B4105" w:rsidRPr="00D94326" w:rsidRDefault="005B4105" w:rsidP="00D94326">
      <w:pPr>
        <w:pStyle w:val="Textonotapie"/>
        <w:contextualSpacing/>
        <w:jc w:val="both"/>
        <w:rPr>
          <w:rFonts w:ascii="Arial Narrow" w:hAnsi="Arial Narrow"/>
          <w:color w:val="000000" w:themeColor="text1"/>
          <w:lang w:val="es-CO"/>
        </w:rPr>
      </w:pPr>
      <w:r w:rsidRPr="00D94326">
        <w:rPr>
          <w:rStyle w:val="Refdenotaalpie"/>
          <w:rFonts w:ascii="Arial Narrow" w:hAnsi="Arial Narrow"/>
          <w:color w:val="000000" w:themeColor="text1"/>
        </w:rPr>
        <w:footnoteRef/>
      </w:r>
      <w:r w:rsidRPr="00D94326">
        <w:rPr>
          <w:rFonts w:ascii="Arial Narrow" w:hAnsi="Arial Narrow"/>
          <w:color w:val="000000" w:themeColor="text1"/>
          <w:lang w:val="es-CO"/>
        </w:rPr>
        <w:t xml:space="preserve"> “La Superintendencia de Transporte tendrá las siguientes funciones: (...) </w:t>
      </w:r>
      <w:r w:rsidRPr="00D94326">
        <w:rPr>
          <w:rFonts w:ascii="Arial Narrow" w:hAnsi="Arial Narrow"/>
          <w:b/>
          <w:bCs/>
          <w:color w:val="000000" w:themeColor="text1"/>
          <w:lang w:val="es-CO"/>
        </w:rPr>
        <w:t>13. Impartir instrucciones para la debida prestación del servicio público de transporte,</w:t>
      </w:r>
      <w:r w:rsidRPr="00D94326">
        <w:rPr>
          <w:rFonts w:ascii="Arial Narrow" w:hAnsi="Arial Narrow"/>
          <w:color w:val="000000" w:themeColor="text1"/>
          <w:lang w:val="es-CO"/>
        </w:rPr>
        <w:t xml:space="preserve"> puertos, concesiones e infraestructura, servicios conexos, y la protección de los usuarios del sector transporte, así como en las demás áreas propias de sus funciones: </w:t>
      </w:r>
      <w:r w:rsidRPr="00D94326">
        <w:rPr>
          <w:rFonts w:ascii="Arial Narrow" w:hAnsi="Arial Narrow"/>
          <w:b/>
          <w:bCs/>
          <w:color w:val="000000" w:themeColor="text1"/>
          <w:lang w:val="es-CO"/>
        </w:rPr>
        <w:t>fijar criterios que faciliten su cumplimiento y señalar los trámites para su cabal aplicación.</w:t>
      </w:r>
      <w:r w:rsidRPr="00D94326">
        <w:rPr>
          <w:rFonts w:ascii="Arial Narrow" w:hAnsi="Arial Narrow"/>
          <w:color w:val="000000" w:themeColor="text1"/>
          <w:lang w:val="es-CO"/>
        </w:rPr>
        <w:t>” Cfr. Decreto 2409 de 2018 articulo 5.</w:t>
      </w:r>
    </w:p>
    <w:p w14:paraId="35E2438E" w14:textId="77777777" w:rsidR="005B4105" w:rsidRPr="00D94326" w:rsidRDefault="005B4105" w:rsidP="00D94326">
      <w:pPr>
        <w:pStyle w:val="Textonotapie"/>
        <w:contextualSpacing/>
        <w:jc w:val="both"/>
        <w:rPr>
          <w:rFonts w:ascii="Arial Narrow" w:hAnsi="Arial Narrow"/>
          <w:color w:val="000000" w:themeColor="text1"/>
          <w:lang w:val="es-CO"/>
        </w:rPr>
      </w:pPr>
      <w:r w:rsidRPr="00D94326">
        <w:rPr>
          <w:rFonts w:ascii="Arial Narrow" w:hAnsi="Arial Narrow"/>
          <w:color w:val="000000" w:themeColor="text1"/>
          <w:lang w:val="es-CO"/>
        </w:rPr>
        <w:t xml:space="preserve">"Son funciones del Despacho del Superintendente de Transporte: (...) </w:t>
      </w:r>
      <w:r w:rsidRPr="00D94326">
        <w:rPr>
          <w:rFonts w:ascii="Arial Narrow" w:hAnsi="Arial Narrow"/>
          <w:b/>
          <w:bCs/>
          <w:color w:val="000000" w:themeColor="text1"/>
          <w:lang w:val="es-CO"/>
        </w:rPr>
        <w:t>6.</w:t>
      </w:r>
      <w:r w:rsidRPr="00D94326">
        <w:rPr>
          <w:rFonts w:ascii="Arial Narrow" w:hAnsi="Arial Narrow"/>
          <w:color w:val="000000" w:themeColor="text1"/>
          <w:lang w:val="es-CO"/>
        </w:rPr>
        <w:t xml:space="preserve"> </w:t>
      </w:r>
      <w:r w:rsidRPr="00D94326">
        <w:rPr>
          <w:rFonts w:ascii="Arial Narrow" w:hAnsi="Arial Narrow"/>
          <w:b/>
          <w:bCs/>
          <w:color w:val="000000" w:themeColor="text1"/>
          <w:lang w:val="es-CO"/>
        </w:rPr>
        <w:t>Impartir instrucciones en malena de la prestación del servicio de transporte,</w:t>
      </w:r>
      <w:r w:rsidRPr="00D94326">
        <w:rPr>
          <w:rFonts w:ascii="Arial Narrow" w:hAnsi="Arial Narrow"/>
          <w:color w:val="000000" w:themeColor="text1"/>
          <w:lang w:val="es-CO"/>
        </w:rPr>
        <w:t xml:space="preserve"> la protección de sus usuarios, concesiones e infraestructura, servicios conexos; así como en las demás áreas propias de sus funciones: </w:t>
      </w:r>
      <w:r w:rsidRPr="00D94326">
        <w:rPr>
          <w:rFonts w:ascii="Arial Narrow" w:hAnsi="Arial Narrow"/>
          <w:b/>
          <w:bCs/>
          <w:color w:val="000000" w:themeColor="text1"/>
          <w:lang w:val="es-CO"/>
        </w:rPr>
        <w:t>fijar criterios que faciliten su cumplimiento y señalar los procedimientos para su cabal aplicación.</w:t>
      </w:r>
      <w:r w:rsidRPr="00D94326">
        <w:rPr>
          <w:rFonts w:ascii="Arial Narrow" w:hAnsi="Arial Narrow"/>
          <w:color w:val="000000" w:themeColor="text1"/>
          <w:lang w:val="es-CO"/>
        </w:rPr>
        <w:t>” Cfr. Decreto 2409 de 2018 articulo 7.</w:t>
      </w:r>
    </w:p>
    <w:p w14:paraId="444665FE" w14:textId="77777777" w:rsidR="005B4105" w:rsidRPr="00D94326" w:rsidRDefault="005B4105" w:rsidP="00D94326">
      <w:pPr>
        <w:pStyle w:val="Textonotapie"/>
        <w:contextualSpacing/>
        <w:jc w:val="both"/>
        <w:rPr>
          <w:rFonts w:ascii="Arial Narrow" w:hAnsi="Arial Narrow"/>
          <w:color w:val="000000" w:themeColor="text1"/>
          <w:lang w:val="es-CO"/>
        </w:rPr>
      </w:pPr>
      <w:r w:rsidRPr="00D94326">
        <w:rPr>
          <w:rFonts w:ascii="Arial Narrow" w:hAnsi="Arial Narrow"/>
          <w:color w:val="000000" w:themeColor="text1"/>
          <w:lang w:val="es-CO"/>
        </w:rPr>
        <w:t xml:space="preserve">“(...) </w:t>
      </w:r>
      <w:r w:rsidRPr="00D94326">
        <w:rPr>
          <w:rFonts w:ascii="Arial Narrow" w:hAnsi="Arial Narrow"/>
          <w:b/>
          <w:bCs/>
          <w:color w:val="000000" w:themeColor="text1"/>
          <w:lang w:val="es-CO"/>
        </w:rPr>
        <w:t>Las superintendencias, entonces, cuentan por regla general, con la facultad de instruir a los destinatarios de su vigilancia y control sobre la forma de ejecutar de la mejor manera posible las normas que regulan sus actividades, y respecto de ciertos requisitos que ellos deben cumplir en aras de facilitar las labores de verificación y encauzamiento de las actividades</w:t>
      </w:r>
      <w:r w:rsidRPr="00D94326">
        <w:rPr>
          <w:rFonts w:ascii="Arial Narrow" w:hAnsi="Arial Narrow"/>
          <w:color w:val="000000" w:themeColor="text1"/>
          <w:lang w:val="es-CO"/>
        </w:rPr>
        <w:t>, que son necesarias para la efectiva vigilancia y control a cargo de dichas entidades.” (Negrilla fuera de texto) Cfr. H. Consejo de Estado Sala de lo Contencioso Administrativo. Sección Tercera. Sentencia del 8 de marzo de 2007. CP: Ramiro Saavedra Becerra. Radicación número: 11001-03-26-000-1998-00017-00 (15071)</w:t>
      </w:r>
    </w:p>
  </w:footnote>
  <w:footnote w:id="4">
    <w:p w14:paraId="232809F0" w14:textId="77777777" w:rsidR="00CB1CE8" w:rsidRPr="00D94326" w:rsidRDefault="00CB1CE8" w:rsidP="00D94326">
      <w:pPr>
        <w:pStyle w:val="Textonotapie"/>
        <w:contextualSpacing/>
        <w:jc w:val="both"/>
        <w:rPr>
          <w:rFonts w:ascii="Arial Narrow" w:hAnsi="Arial Narrow"/>
          <w:lang w:val="es-MX"/>
        </w:rPr>
      </w:pPr>
      <w:r w:rsidRPr="00D94326">
        <w:rPr>
          <w:rStyle w:val="Refdenotaalpie"/>
          <w:rFonts w:ascii="Arial Narrow" w:hAnsi="Arial Narrow"/>
        </w:rPr>
        <w:footnoteRef/>
      </w:r>
      <w:r w:rsidRPr="00D94326">
        <w:rPr>
          <w:rFonts w:ascii="Arial Narrow" w:hAnsi="Arial Narrow"/>
          <w:lang w:val="es-CO"/>
        </w:rPr>
        <w:t xml:space="preserve"> “(…) esta Corporación también ha indicado que dicha prerrogativa fundamental también tiene una faceta positiva y de orden prestacional, pues para garantizar su goce y ejercicio en algunas ocasiones se requiere de una infraestructura de base, que da origen a una obligación de hacer o dar en cabeza de las autoridades públicas, exigible por los ciudadanos.” </w:t>
      </w:r>
      <w:r w:rsidRPr="00D94326">
        <w:rPr>
          <w:rFonts w:ascii="Arial Narrow" w:hAnsi="Arial Narrow"/>
          <w:shd w:val="clear" w:color="auto" w:fill="FFFFFF"/>
          <w:lang w:val="es-CO"/>
        </w:rPr>
        <w:t xml:space="preserve">Cfr. </w:t>
      </w:r>
      <w:r w:rsidRPr="00D94326">
        <w:rPr>
          <w:rFonts w:ascii="Arial Narrow" w:hAnsi="Arial Narrow"/>
          <w:lang w:val="es-CO"/>
        </w:rPr>
        <w:t xml:space="preserve">H. Corte Constitucional </w:t>
      </w:r>
      <w:r w:rsidRPr="00D94326">
        <w:rPr>
          <w:rFonts w:ascii="Arial Narrow" w:hAnsi="Arial Narrow"/>
          <w:shd w:val="clear" w:color="auto" w:fill="FFFFFF"/>
          <w:lang w:val="es-CO"/>
        </w:rPr>
        <w:t>Sentencia C-879 de 2011, Sentencia T</w:t>
      </w:r>
      <w:r w:rsidRPr="00D94326">
        <w:rPr>
          <w:rFonts w:ascii="Arial Narrow" w:hAnsi="Arial Narrow"/>
          <w:lang w:val="es-CO"/>
        </w:rPr>
        <w:t>-708 de 2015</w:t>
      </w:r>
    </w:p>
  </w:footnote>
  <w:footnote w:id="5">
    <w:p w14:paraId="52120B3C" w14:textId="00C407A7" w:rsidR="00CB1CE8" w:rsidRPr="00D94326" w:rsidRDefault="00CB1CE8" w:rsidP="00D94326">
      <w:pPr>
        <w:pStyle w:val="Textonotapie"/>
        <w:contextualSpacing/>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lang w:val="es-CO"/>
        </w:rPr>
        <w:t xml:space="preserve"> </w:t>
      </w:r>
      <w:r w:rsidR="00876022" w:rsidRPr="00D94326">
        <w:rPr>
          <w:rFonts w:ascii="Arial Narrow" w:hAnsi="Arial Narrow"/>
          <w:color w:val="000000" w:themeColor="text1"/>
          <w:lang w:val="es-MX"/>
        </w:rPr>
        <w:t>V</w:t>
      </w:r>
      <w:r w:rsidR="00876022" w:rsidRPr="00D94326">
        <w:rPr>
          <w:rFonts w:ascii="Arial Narrow" w:hAnsi="Arial Narrow"/>
          <w:color w:val="000000" w:themeColor="text1"/>
          <w:lang w:val="es-MX"/>
        </w:rPr>
        <w:t>.gr. actividades informales, como ventas ambulantes, que afectan el tránsito de las personas</w:t>
      </w:r>
      <w:r w:rsidR="00876022" w:rsidRPr="00D94326">
        <w:rPr>
          <w:rFonts w:ascii="Arial Narrow" w:hAnsi="Arial Narrow"/>
          <w:color w:val="000000" w:themeColor="text1"/>
          <w:lang w:val="es-MX"/>
        </w:rPr>
        <w:t xml:space="preserve">. </w:t>
      </w:r>
      <w:r w:rsidRPr="00D94326">
        <w:rPr>
          <w:rFonts w:ascii="Arial Narrow" w:hAnsi="Arial Narrow"/>
          <w:lang w:val="es-CO"/>
        </w:rPr>
        <w:t>Cfr. H. Corte Constitucional Sentencia T-066 de 1995; Sentencia T-747 de 2015</w:t>
      </w:r>
    </w:p>
  </w:footnote>
  <w:footnote w:id="6">
    <w:p w14:paraId="1945EED7" w14:textId="77777777" w:rsidR="00CB1CE8" w:rsidRPr="00D94326" w:rsidRDefault="00CB1CE8" w:rsidP="00D94326">
      <w:pPr>
        <w:pStyle w:val="Textonotapie"/>
        <w:contextualSpacing/>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lang w:val="es-CO"/>
        </w:rPr>
        <w:t xml:space="preserve"> </w:t>
      </w:r>
      <w:r w:rsidRPr="00D94326">
        <w:rPr>
          <w:rFonts w:ascii="Arial Narrow" w:hAnsi="Arial Narrow"/>
          <w:shd w:val="clear" w:color="auto" w:fill="FFFFFF"/>
          <w:lang w:val="es-CO"/>
        </w:rPr>
        <w:t xml:space="preserve">Cfr. </w:t>
      </w:r>
      <w:r w:rsidRPr="00D94326">
        <w:rPr>
          <w:rFonts w:ascii="Arial Narrow" w:hAnsi="Arial Narrow"/>
          <w:lang w:val="es-CO"/>
        </w:rPr>
        <w:t xml:space="preserve">H. Corte Constitucional </w:t>
      </w:r>
      <w:r w:rsidRPr="00D94326">
        <w:rPr>
          <w:rFonts w:ascii="Arial Narrow" w:hAnsi="Arial Narrow"/>
          <w:shd w:val="clear" w:color="auto" w:fill="FFFFFF"/>
          <w:lang w:val="es-CO"/>
        </w:rPr>
        <w:t>Sentencia C-885 de 2010, Sentencia T</w:t>
      </w:r>
      <w:r w:rsidRPr="00D94326">
        <w:rPr>
          <w:rFonts w:ascii="Arial Narrow" w:hAnsi="Arial Narrow"/>
          <w:lang w:val="es-CO"/>
        </w:rPr>
        <w:t>-708 de 2015</w:t>
      </w:r>
    </w:p>
  </w:footnote>
  <w:footnote w:id="7">
    <w:p w14:paraId="12DD2154" w14:textId="77777777" w:rsidR="00876022" w:rsidRPr="00D94326" w:rsidRDefault="00876022" w:rsidP="00D94326">
      <w:pPr>
        <w:pStyle w:val="Textonotapie"/>
        <w:contextualSpacing/>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lang w:val="es-CO"/>
        </w:rPr>
        <w:t xml:space="preserve"> De conformidad con la denominación prevista en la sentencia </w:t>
      </w:r>
      <w:r w:rsidRPr="00D94326">
        <w:rPr>
          <w:rFonts w:ascii="Arial Narrow" w:hAnsi="Arial Narrow" w:cs="Arial"/>
          <w:lang w:val="es-CO"/>
        </w:rPr>
        <w:t>C-458 de 2015</w:t>
      </w:r>
    </w:p>
  </w:footnote>
  <w:footnote w:id="8">
    <w:p w14:paraId="48545CDF" w14:textId="77777777" w:rsidR="00876022" w:rsidRPr="00D94326" w:rsidRDefault="00876022" w:rsidP="00D94326">
      <w:pPr>
        <w:pStyle w:val="Textonotapie"/>
        <w:contextualSpacing/>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lang w:val="es-CO"/>
        </w:rPr>
        <w:t xml:space="preserve"> </w:t>
      </w:r>
      <w:r w:rsidRPr="00D94326">
        <w:rPr>
          <w:rFonts w:ascii="Arial Narrow" w:hAnsi="Arial Narrow"/>
          <w:shd w:val="clear" w:color="auto" w:fill="FFFFFF"/>
          <w:lang w:val="es-CO"/>
        </w:rPr>
        <w:t xml:space="preserve">Cfr. </w:t>
      </w:r>
      <w:r w:rsidRPr="00D94326">
        <w:rPr>
          <w:rFonts w:ascii="Arial Narrow" w:hAnsi="Arial Narrow"/>
          <w:lang w:val="es-CO"/>
        </w:rPr>
        <w:t xml:space="preserve">H. Corte Constitucional </w:t>
      </w:r>
      <w:r w:rsidRPr="00D94326">
        <w:rPr>
          <w:rFonts w:ascii="Arial Narrow" w:hAnsi="Arial Narrow"/>
          <w:shd w:val="clear" w:color="auto" w:fill="FFFFFF"/>
          <w:lang w:val="es-CO"/>
        </w:rPr>
        <w:t>Sentencia C-804 de 2009</w:t>
      </w:r>
    </w:p>
  </w:footnote>
  <w:footnote w:id="9">
    <w:p w14:paraId="4CBC5BC0" w14:textId="77777777" w:rsidR="00876022" w:rsidRPr="00D94326" w:rsidRDefault="00876022" w:rsidP="00D94326">
      <w:pPr>
        <w:spacing w:after="0" w:line="240" w:lineRule="auto"/>
        <w:contextualSpacing/>
        <w:jc w:val="both"/>
        <w:rPr>
          <w:rFonts w:ascii="Arial Narrow" w:hAnsi="Arial Narrow"/>
          <w:bCs/>
          <w:sz w:val="20"/>
          <w:szCs w:val="20"/>
          <w:lang w:val="es-CO"/>
        </w:rPr>
      </w:pPr>
      <w:r w:rsidRPr="00D94326">
        <w:rPr>
          <w:rStyle w:val="Refdenotaalpie"/>
          <w:rFonts w:ascii="Arial Narrow" w:hAnsi="Arial Narrow"/>
          <w:sz w:val="20"/>
          <w:szCs w:val="20"/>
        </w:rPr>
        <w:footnoteRef/>
      </w:r>
      <w:r w:rsidRPr="00D94326">
        <w:rPr>
          <w:rFonts w:ascii="Arial Narrow" w:hAnsi="Arial Narrow"/>
          <w:sz w:val="20"/>
          <w:szCs w:val="20"/>
          <w:lang w:val="es-CO"/>
        </w:rPr>
        <w:t xml:space="preserve"> </w:t>
      </w:r>
      <w:r w:rsidRPr="00D94326">
        <w:rPr>
          <w:rFonts w:ascii="Arial Narrow" w:hAnsi="Arial Narrow"/>
          <w:sz w:val="20"/>
          <w:szCs w:val="20"/>
          <w:lang w:val="es-ES"/>
        </w:rPr>
        <w:t>Al respecto, ha dicho la Corte Constitucional que “</w:t>
      </w:r>
      <w:r w:rsidRPr="00D94326">
        <w:rPr>
          <w:rFonts w:ascii="Arial Narrow" w:hAnsi="Arial Narrow"/>
          <w:bCs/>
          <w:sz w:val="20"/>
          <w:szCs w:val="20"/>
          <w:lang w:val="es-CO"/>
        </w:rPr>
        <w:t xml:space="preserve">(…) </w:t>
      </w:r>
      <w:r w:rsidRPr="00D94326">
        <w:rPr>
          <w:rFonts w:ascii="Arial Narrow" w:hAnsi="Arial Narrow"/>
          <w:b/>
          <w:sz w:val="20"/>
          <w:szCs w:val="20"/>
          <w:lang w:val="es-CO"/>
        </w:rPr>
        <w:t xml:space="preserve">catalogar el transporte como un servicio público deviene de la facultad del legislador, </w:t>
      </w:r>
      <w:r w:rsidRPr="00D94326">
        <w:rPr>
          <w:rFonts w:ascii="Arial Narrow" w:hAnsi="Arial Narrow"/>
          <w:bCs/>
          <w:sz w:val="20"/>
          <w:szCs w:val="20"/>
          <w:lang w:val="es-CO"/>
        </w:rPr>
        <w:t xml:space="preserve">investido de las expresas atribuciones constitucionales para expedir leyes de intervención económica (art. 334 Const.), y regir la prestación de los servicios públicos (art. 150.21 y 23), por lo que dado su carácter imprescindible y su relación con el interés público y los derechos fundamentales, pueden ser prestados por el Estado directamente o indirectamente por los particulares o comunidades organizadas, conservando el papel de garante de su prestación eficiente, empleando las competencias constitucional de regulación, control y vigilancia sobre el mismo”.  </w:t>
      </w:r>
      <w:r w:rsidRPr="00D94326">
        <w:rPr>
          <w:rFonts w:ascii="Arial Narrow" w:hAnsi="Arial Narrow"/>
          <w:sz w:val="20"/>
          <w:szCs w:val="20"/>
          <w:shd w:val="clear" w:color="auto" w:fill="FFFFFF"/>
          <w:lang w:val="es-CO"/>
        </w:rPr>
        <w:t xml:space="preserve">Cfr. </w:t>
      </w:r>
      <w:r w:rsidRPr="00D94326">
        <w:rPr>
          <w:rFonts w:ascii="Arial Narrow" w:hAnsi="Arial Narrow"/>
          <w:sz w:val="20"/>
          <w:szCs w:val="20"/>
          <w:lang w:val="es-CO"/>
        </w:rPr>
        <w:t xml:space="preserve">H. Corte Constitucional </w:t>
      </w:r>
      <w:r w:rsidRPr="00D94326">
        <w:rPr>
          <w:rFonts w:ascii="Arial Narrow" w:hAnsi="Arial Narrow"/>
          <w:sz w:val="20"/>
          <w:szCs w:val="20"/>
          <w:shd w:val="clear" w:color="auto" w:fill="FFFFFF"/>
          <w:lang w:val="es-CO"/>
        </w:rPr>
        <w:t>Sentencia C-033 de 2014</w:t>
      </w:r>
    </w:p>
  </w:footnote>
  <w:footnote w:id="10">
    <w:p w14:paraId="286C58F9" w14:textId="77777777" w:rsidR="00876022" w:rsidRPr="00D94326" w:rsidRDefault="00876022" w:rsidP="00D94326">
      <w:pPr>
        <w:pStyle w:val="NormalWeb"/>
        <w:shd w:val="clear" w:color="auto" w:fill="FFFFFF"/>
        <w:spacing w:before="0" w:beforeAutospacing="0" w:after="0" w:afterAutospacing="0"/>
        <w:contextualSpacing/>
        <w:jc w:val="both"/>
        <w:rPr>
          <w:rFonts w:ascii="Arial Narrow" w:hAnsi="Arial Narrow"/>
          <w:sz w:val="20"/>
          <w:szCs w:val="20"/>
          <w:lang w:val="es-CO"/>
        </w:rPr>
      </w:pPr>
      <w:r w:rsidRPr="00D94326">
        <w:rPr>
          <w:rStyle w:val="Refdenotaalpie"/>
          <w:rFonts w:ascii="Arial Narrow" w:hAnsi="Arial Narrow"/>
          <w:sz w:val="20"/>
          <w:szCs w:val="20"/>
        </w:rPr>
        <w:footnoteRef/>
      </w:r>
      <w:r w:rsidRPr="00D94326">
        <w:rPr>
          <w:rFonts w:ascii="Arial Narrow" w:hAnsi="Arial Narrow"/>
          <w:sz w:val="20"/>
          <w:szCs w:val="20"/>
          <w:lang w:val="es-CO"/>
        </w:rPr>
        <w:t xml:space="preserve"> La Corte Constitucional ha manifestado que “[e]l legítimo ejercicio del derecho a la circulación </w:t>
      </w:r>
      <w:r w:rsidRPr="00D94326">
        <w:rPr>
          <w:rFonts w:ascii="Arial Narrow" w:hAnsi="Arial Narrow"/>
          <w:b/>
          <w:bCs/>
          <w:sz w:val="20"/>
          <w:szCs w:val="20"/>
          <w:lang w:val="es-CO"/>
        </w:rPr>
        <w:t>se constituye en un presupuesto para el ejercicio de otros derechos constitucionales,</w:t>
      </w:r>
      <w:r w:rsidRPr="00D94326">
        <w:rPr>
          <w:rFonts w:ascii="Arial Narrow" w:hAnsi="Arial Narrow"/>
          <w:sz w:val="20"/>
          <w:szCs w:val="20"/>
          <w:lang w:val="es-CO"/>
        </w:rPr>
        <w:t xml:space="preserve"> cuyo desarrollo supone el reconocimiento a un derecho de movimiento que garantiza la independencia física del individuo." Cfr. H. Corte Constitucional </w:t>
      </w:r>
      <w:r w:rsidRPr="00D94326">
        <w:rPr>
          <w:rFonts w:ascii="Arial Narrow" w:hAnsi="Arial Narrow" w:cs="Arial"/>
          <w:sz w:val="20"/>
          <w:szCs w:val="20"/>
          <w:lang w:val="es-CO"/>
        </w:rPr>
        <w:t xml:space="preserve">Sentencia T-150 de 1995; </w:t>
      </w:r>
      <w:r w:rsidRPr="00D94326">
        <w:rPr>
          <w:rFonts w:ascii="Arial Narrow" w:hAnsi="Arial Narrow"/>
          <w:sz w:val="20"/>
          <w:szCs w:val="20"/>
          <w:lang w:val="es-CO"/>
        </w:rPr>
        <w:t xml:space="preserve">Sentencia T-595 de 2002. </w:t>
      </w:r>
    </w:p>
  </w:footnote>
  <w:footnote w:id="11">
    <w:p w14:paraId="68649F20" w14:textId="77777777" w:rsidR="00CB1CE8" w:rsidRPr="00D94326" w:rsidRDefault="00CB1CE8" w:rsidP="00D94326">
      <w:pPr>
        <w:spacing w:after="0" w:line="240" w:lineRule="auto"/>
        <w:contextualSpacing/>
        <w:jc w:val="both"/>
        <w:rPr>
          <w:rFonts w:ascii="Arial Narrow" w:hAnsi="Arial Narrow"/>
          <w:sz w:val="20"/>
          <w:szCs w:val="20"/>
        </w:rPr>
      </w:pPr>
      <w:r w:rsidRPr="00D94326">
        <w:rPr>
          <w:rStyle w:val="Refdenotaalpie"/>
          <w:rFonts w:ascii="Arial Narrow" w:hAnsi="Arial Narrow"/>
          <w:sz w:val="20"/>
          <w:szCs w:val="20"/>
        </w:rPr>
        <w:footnoteRef/>
      </w:r>
      <w:r w:rsidRPr="00D94326">
        <w:rPr>
          <w:rFonts w:ascii="Arial Narrow" w:hAnsi="Arial Narrow"/>
          <w:sz w:val="20"/>
          <w:szCs w:val="20"/>
          <w:lang w:val="es-CO"/>
        </w:rPr>
        <w:t xml:space="preserve"> “El transporte en calles y carreteras mediante los diferentes vehículos que permiten el tránsito terrestre son una de las formas conducentes para asegurar el goce efectivo de la libertad de locomoción. Pero </w:t>
      </w:r>
      <w:r w:rsidRPr="00D94326">
        <w:rPr>
          <w:rFonts w:ascii="Arial Narrow" w:hAnsi="Arial Narrow"/>
          <w:b/>
          <w:bCs/>
          <w:sz w:val="20"/>
          <w:szCs w:val="20"/>
          <w:lang w:val="es-CO"/>
        </w:rPr>
        <w:t>se trata de formas de transporte que también generan riesgos para la vida y la integridad de las personas, que demandan un control del Estado.</w:t>
      </w:r>
      <w:r w:rsidRPr="00D94326">
        <w:rPr>
          <w:rFonts w:ascii="Arial Narrow" w:hAnsi="Arial Narrow"/>
          <w:sz w:val="20"/>
          <w:szCs w:val="20"/>
          <w:lang w:val="es-CO"/>
        </w:rPr>
        <w:t xml:space="preserve"> El poder de regulación del transporte no sólo busca asegurar que en efecto las personas puedan desplazarse, busca también que éste se dé en condiciones de seguridad, sin tener que exponer la vida y la integridad personal a riesgos más allá de lo razonable. Es decir, usar vehículos terrestres para el desplazamiento humano, supone generar o asumir riesgos significativos, incluso de muerte. El Estado, al asegurar las condiciones de seguridad y remover los obstáculos que impidan minimizar la probabilidad de que dichos riegos tengan lugar, protege los derechos cardinales a la vida y a la integridad personal, presupuestos de toda libertad.” </w:t>
      </w:r>
      <w:r w:rsidRPr="00D94326">
        <w:rPr>
          <w:rFonts w:ascii="Arial Narrow" w:hAnsi="Arial Narrow"/>
          <w:sz w:val="20"/>
          <w:szCs w:val="20"/>
          <w:shd w:val="clear" w:color="auto" w:fill="FFFFFF"/>
        </w:rPr>
        <w:t xml:space="preserve">Cfr. </w:t>
      </w:r>
      <w:r w:rsidRPr="00D94326">
        <w:rPr>
          <w:rFonts w:ascii="Arial Narrow" w:hAnsi="Arial Narrow"/>
          <w:sz w:val="20"/>
          <w:szCs w:val="20"/>
        </w:rPr>
        <w:t xml:space="preserve">H. Corte Constitucional </w:t>
      </w:r>
      <w:r w:rsidRPr="00D94326">
        <w:rPr>
          <w:rFonts w:ascii="Arial Narrow" w:hAnsi="Arial Narrow"/>
          <w:sz w:val="20"/>
          <w:szCs w:val="20"/>
          <w:shd w:val="clear" w:color="auto" w:fill="FFFFFF"/>
        </w:rPr>
        <w:t>Sentencia</w:t>
      </w:r>
      <w:r w:rsidRPr="00D94326">
        <w:rPr>
          <w:rFonts w:ascii="Arial Narrow" w:hAnsi="Arial Narrow"/>
          <w:sz w:val="20"/>
          <w:szCs w:val="20"/>
        </w:rPr>
        <w:t xml:space="preserve"> C-885 de 2010</w:t>
      </w:r>
    </w:p>
  </w:footnote>
  <w:footnote w:id="12">
    <w:p w14:paraId="16521B9E" w14:textId="77777777" w:rsidR="00EB783E" w:rsidRPr="00D94326" w:rsidRDefault="00EB783E" w:rsidP="00D94326">
      <w:pPr>
        <w:pStyle w:val="Textonotapie"/>
        <w:contextualSpacing/>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lang w:val="es-CO"/>
        </w:rPr>
        <w:t xml:space="preserve"> </w:t>
      </w:r>
      <w:r w:rsidRPr="00D94326">
        <w:rPr>
          <w:rFonts w:ascii="Arial Narrow" w:hAnsi="Arial Narrow"/>
          <w:lang w:val="es-MX"/>
        </w:rPr>
        <w:t xml:space="preserve">Lo anterior, porque “el carácter progresivo de la prestación no puede ser invocado para justificar la inacción continuada del Estado, ya que </w:t>
      </w:r>
      <w:r w:rsidRPr="00D94326">
        <w:rPr>
          <w:rFonts w:ascii="Arial Narrow" w:hAnsi="Arial Narrow"/>
          <w:b/>
          <w:bCs/>
          <w:lang w:val="es-MX"/>
        </w:rPr>
        <w:t>por el hecho de tratarse de garantías que suponen el diseño e implementación de una política pública, el no haber comenzado a elaborar un plan es una violación de la Carta Política</w:t>
      </w:r>
      <w:r w:rsidRPr="00D94326">
        <w:rPr>
          <w:rFonts w:ascii="Arial Narrow" w:hAnsi="Arial Narrow"/>
          <w:lang w:val="es-MX"/>
        </w:rPr>
        <w:t xml:space="preserve"> (…)”. </w:t>
      </w:r>
      <w:r w:rsidRPr="00D94326">
        <w:rPr>
          <w:rFonts w:ascii="Arial Narrow" w:hAnsi="Arial Narrow"/>
          <w:shd w:val="clear" w:color="auto" w:fill="FFFFFF"/>
          <w:lang w:val="es-CO"/>
        </w:rPr>
        <w:t xml:space="preserve">Cfr. </w:t>
      </w:r>
      <w:r w:rsidRPr="00D94326">
        <w:rPr>
          <w:rFonts w:ascii="Arial Narrow" w:hAnsi="Arial Narrow"/>
          <w:lang w:val="es-CO"/>
        </w:rPr>
        <w:t xml:space="preserve">H. Corte Constitucional </w:t>
      </w:r>
      <w:r w:rsidRPr="00D94326">
        <w:rPr>
          <w:rFonts w:ascii="Arial Narrow" w:hAnsi="Arial Narrow"/>
          <w:shd w:val="clear" w:color="auto" w:fill="FFFFFF"/>
          <w:lang w:val="es-CO"/>
        </w:rPr>
        <w:t>Sentencia T</w:t>
      </w:r>
      <w:r w:rsidRPr="00D94326">
        <w:rPr>
          <w:rFonts w:ascii="Arial Narrow" w:hAnsi="Arial Narrow"/>
          <w:lang w:val="es-CO"/>
        </w:rPr>
        <w:t>-708 de 2015</w:t>
      </w:r>
    </w:p>
    <w:p w14:paraId="66FA4095" w14:textId="77777777" w:rsidR="00EB783E" w:rsidRPr="00D94326" w:rsidRDefault="00EB783E" w:rsidP="00D94326">
      <w:pPr>
        <w:pStyle w:val="Textonotapie"/>
        <w:contextualSpacing/>
        <w:jc w:val="both"/>
        <w:rPr>
          <w:rFonts w:ascii="Arial Narrow" w:hAnsi="Arial Narrow"/>
          <w:lang w:val="es-CO"/>
        </w:rPr>
      </w:pPr>
    </w:p>
    <w:p w14:paraId="298C7935" w14:textId="77777777" w:rsidR="00EB783E" w:rsidRPr="00D94326" w:rsidRDefault="00EB783E" w:rsidP="00D94326">
      <w:pPr>
        <w:pStyle w:val="Textonotapie"/>
        <w:contextualSpacing/>
        <w:jc w:val="both"/>
        <w:rPr>
          <w:rFonts w:ascii="Arial Narrow" w:hAnsi="Arial Narrow"/>
        </w:rPr>
      </w:pPr>
      <w:r w:rsidRPr="00D94326">
        <w:rPr>
          <w:rFonts w:ascii="Arial Narrow" w:hAnsi="Arial Narrow"/>
          <w:lang w:val="es-CO"/>
        </w:rPr>
        <w:t xml:space="preserve">“La administración equilibrada y justa de la riqueza puede verse afectada por errores o </w:t>
      </w:r>
      <w:r w:rsidRPr="00D94326">
        <w:rPr>
          <w:rFonts w:ascii="Arial Narrow" w:hAnsi="Arial Narrow"/>
          <w:b/>
          <w:bCs/>
          <w:lang w:val="es-CO"/>
        </w:rPr>
        <w:t>falta de planeación del transporte público que, siendo un instrumento clave del desarrollo, tiene una incidencia directa sobre el goce efectivo de los derechos fundamentales</w:t>
      </w:r>
      <w:r w:rsidRPr="00D94326">
        <w:rPr>
          <w:rFonts w:ascii="Arial Narrow" w:hAnsi="Arial Narrow"/>
          <w:lang w:val="es-CO"/>
        </w:rPr>
        <w:t xml:space="preserve"> (…)”. </w:t>
      </w:r>
      <w:r w:rsidRPr="00D94326">
        <w:rPr>
          <w:rFonts w:ascii="Arial Narrow" w:hAnsi="Arial Narrow"/>
          <w:shd w:val="clear" w:color="auto" w:fill="FFFFFF"/>
        </w:rPr>
        <w:t xml:space="preserve">Cfr. </w:t>
      </w:r>
      <w:r w:rsidRPr="00D94326">
        <w:rPr>
          <w:rFonts w:ascii="Arial Narrow" w:hAnsi="Arial Narrow"/>
        </w:rPr>
        <w:t xml:space="preserve">H. Corte Constitucional </w:t>
      </w:r>
      <w:r w:rsidRPr="00D94326">
        <w:rPr>
          <w:rFonts w:ascii="Arial Narrow" w:hAnsi="Arial Narrow"/>
          <w:shd w:val="clear" w:color="auto" w:fill="FFFFFF"/>
        </w:rPr>
        <w:t>Sentencia</w:t>
      </w:r>
      <w:r w:rsidRPr="00D94326">
        <w:rPr>
          <w:rFonts w:ascii="Arial Narrow" w:hAnsi="Arial Narrow"/>
        </w:rPr>
        <w:t xml:space="preserve"> </w:t>
      </w:r>
      <w:r w:rsidRPr="00D94326">
        <w:rPr>
          <w:rFonts w:ascii="Arial Narrow" w:hAnsi="Arial Narrow"/>
          <w:shd w:val="clear" w:color="auto" w:fill="FFFFFF"/>
        </w:rPr>
        <w:t>T-604 de 1992</w:t>
      </w:r>
    </w:p>
  </w:footnote>
  <w:footnote w:id="13">
    <w:p w14:paraId="4394053C" w14:textId="2E7E1185" w:rsidR="007A1414" w:rsidRPr="00D94326" w:rsidRDefault="007A1414" w:rsidP="00D94326">
      <w:pPr>
        <w:pStyle w:val="Textonotapie"/>
        <w:contextualSpacing/>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lang w:val="es-CO"/>
        </w:rPr>
        <w:t xml:space="preserve"> Cfr. Ministerio de Transporte. Resolución 3443 de 2016. Artículo 2</w:t>
      </w:r>
    </w:p>
  </w:footnote>
  <w:footnote w:id="14">
    <w:p w14:paraId="6ECC3139" w14:textId="6971D314" w:rsidR="007A1414" w:rsidRPr="00D94326" w:rsidRDefault="007A1414" w:rsidP="00D94326">
      <w:pPr>
        <w:pStyle w:val="Textonotapie"/>
        <w:contextualSpacing/>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lang w:val="es-CO"/>
        </w:rPr>
        <w:t xml:space="preserve"> Cfr. Ministerio de Transporte. Resolución 3443 de 2016. Artículo </w:t>
      </w:r>
      <w:r w:rsidRPr="00D94326">
        <w:rPr>
          <w:rFonts w:ascii="Arial Narrow" w:hAnsi="Arial Narrow"/>
          <w:lang w:val="es-CO"/>
        </w:rPr>
        <w:t>3</w:t>
      </w:r>
    </w:p>
  </w:footnote>
  <w:footnote w:id="15">
    <w:p w14:paraId="072409E5" w14:textId="3659DF99" w:rsidR="007A1414" w:rsidRPr="00D94326" w:rsidRDefault="007A1414" w:rsidP="00D94326">
      <w:pPr>
        <w:pStyle w:val="Textonotapie"/>
        <w:contextualSpacing/>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rPr>
        <w:t xml:space="preserve"> </w:t>
      </w:r>
      <w:r w:rsidRPr="00D94326">
        <w:rPr>
          <w:rFonts w:ascii="Arial Narrow" w:hAnsi="Arial Narrow"/>
          <w:lang w:val="es-CO"/>
        </w:rPr>
        <w:t>xxxxx</w:t>
      </w:r>
    </w:p>
  </w:footnote>
  <w:footnote w:id="16">
    <w:p w14:paraId="19875608" w14:textId="199B195B" w:rsidR="00775E4C" w:rsidRPr="00D94326" w:rsidRDefault="00775E4C" w:rsidP="00D94326">
      <w:pPr>
        <w:spacing w:after="0" w:line="240" w:lineRule="auto"/>
        <w:contextualSpacing/>
        <w:jc w:val="both"/>
        <w:rPr>
          <w:rFonts w:ascii="Arial Narrow" w:hAnsi="Arial Narrow"/>
          <w:sz w:val="20"/>
          <w:szCs w:val="20"/>
          <w:lang w:val="es-CO"/>
        </w:rPr>
      </w:pPr>
      <w:r w:rsidRPr="00D94326">
        <w:rPr>
          <w:rStyle w:val="Refdenotaalpie"/>
          <w:rFonts w:ascii="Arial Narrow" w:hAnsi="Arial Narrow"/>
          <w:sz w:val="20"/>
          <w:szCs w:val="20"/>
        </w:rPr>
        <w:footnoteRef/>
      </w:r>
      <w:r w:rsidRPr="00D94326">
        <w:rPr>
          <w:rFonts w:ascii="Arial Narrow" w:hAnsi="Arial Narrow"/>
          <w:sz w:val="20"/>
          <w:szCs w:val="20"/>
          <w:lang w:val="es-CO"/>
        </w:rPr>
        <w:t xml:space="preserve"> “</w:t>
      </w:r>
      <w:r w:rsidRPr="00D94326">
        <w:rPr>
          <w:rFonts w:ascii="Arial Narrow" w:hAnsi="Arial Narrow"/>
          <w:sz w:val="20"/>
          <w:szCs w:val="20"/>
          <w:lang w:val="es-CO"/>
        </w:rPr>
        <w:t>D.12. Conducir un vehículo que, sin la debida autorización, se destine a un servicio diferente de aquel para el cual tiene licencia de tránsito. Además, el vehículo será inmovilizado por primera vez, por el término de cinco días, por segunda vez veinte días y por tercera vez cuarenta días.</w:t>
      </w:r>
      <w:r w:rsidRPr="00D94326">
        <w:rPr>
          <w:rFonts w:ascii="Arial Narrow" w:hAnsi="Arial Narrow"/>
          <w:sz w:val="20"/>
          <w:szCs w:val="20"/>
          <w:lang w:val="es-CO"/>
        </w:rPr>
        <w:t>”</w:t>
      </w:r>
    </w:p>
  </w:footnote>
  <w:footnote w:id="17">
    <w:p w14:paraId="6CD90812" w14:textId="3F84BA72" w:rsidR="00111922" w:rsidRPr="00D94326" w:rsidRDefault="00111922" w:rsidP="00D94326">
      <w:pPr>
        <w:pStyle w:val="Textonotapie"/>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lang w:val="es-CO"/>
        </w:rPr>
        <w:t xml:space="preserve"> Cfr. Ley 336 de 1996 art</w:t>
      </w:r>
      <w:r w:rsidR="00D94326" w:rsidRPr="00D94326">
        <w:rPr>
          <w:rFonts w:ascii="Arial Narrow" w:hAnsi="Arial Narrow"/>
          <w:lang w:val="es-CO"/>
        </w:rPr>
        <w:t>s</w:t>
      </w:r>
      <w:r w:rsidRPr="00D94326">
        <w:rPr>
          <w:rFonts w:ascii="Arial Narrow" w:hAnsi="Arial Narrow"/>
          <w:lang w:val="es-CO"/>
        </w:rPr>
        <w:t>. 2</w:t>
      </w:r>
      <w:r w:rsidR="00D94326" w:rsidRPr="00D94326">
        <w:rPr>
          <w:rFonts w:ascii="Arial Narrow" w:hAnsi="Arial Narrow"/>
          <w:lang w:val="es-CO"/>
        </w:rPr>
        <w:t>3 y 31</w:t>
      </w:r>
    </w:p>
  </w:footnote>
  <w:footnote w:id="18">
    <w:p w14:paraId="38B0FDC8" w14:textId="383BF397" w:rsidR="00D94326" w:rsidRPr="00D94326" w:rsidRDefault="00D94326" w:rsidP="00D94326">
      <w:pPr>
        <w:pStyle w:val="Textonotapie"/>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rPr>
        <w:t xml:space="preserve"> </w:t>
      </w:r>
      <w:r w:rsidRPr="00D94326">
        <w:rPr>
          <w:rFonts w:ascii="Arial Narrow" w:hAnsi="Arial Narrow"/>
          <w:lang w:val="es-CO"/>
        </w:rPr>
        <w:t>Cfr. Ley 336 de 1996 art</w:t>
      </w:r>
      <w:r w:rsidRPr="00D94326">
        <w:rPr>
          <w:rFonts w:ascii="Arial Narrow" w:hAnsi="Arial Narrow"/>
          <w:lang w:val="es-CO"/>
        </w:rPr>
        <w:t>. 34</w:t>
      </w:r>
    </w:p>
  </w:footnote>
  <w:footnote w:id="19">
    <w:p w14:paraId="4455C58B" w14:textId="212E7625" w:rsidR="00D94326" w:rsidRPr="00D94326" w:rsidRDefault="00D94326" w:rsidP="00D94326">
      <w:pPr>
        <w:pStyle w:val="Textonotapie"/>
        <w:jc w:val="both"/>
        <w:rPr>
          <w:rFonts w:ascii="Arial Narrow" w:hAnsi="Arial Narrow"/>
          <w:lang w:val="es-CO"/>
        </w:rPr>
      </w:pPr>
      <w:r w:rsidRPr="00D94326">
        <w:rPr>
          <w:rStyle w:val="Refdenotaalpie"/>
          <w:rFonts w:ascii="Arial Narrow" w:hAnsi="Arial Narrow"/>
        </w:rPr>
        <w:footnoteRef/>
      </w:r>
      <w:r w:rsidRPr="00D94326">
        <w:rPr>
          <w:rFonts w:ascii="Arial Narrow" w:hAnsi="Arial Narrow"/>
          <w:lang w:val="es-CO"/>
        </w:rPr>
        <w:t xml:space="preserve"> </w:t>
      </w:r>
      <w:r w:rsidRPr="00D94326">
        <w:rPr>
          <w:rFonts w:ascii="Arial Narrow" w:hAnsi="Arial Narrow"/>
          <w:lang w:val="es-CO"/>
        </w:rPr>
        <w:t>Cfr. Ley 336 de 1996 art</w:t>
      </w:r>
      <w:r w:rsidRPr="00D94326">
        <w:rPr>
          <w:rFonts w:ascii="Arial Narrow" w:hAnsi="Arial Narrow"/>
          <w:lang w:val="es-CO"/>
        </w:rPr>
        <w:t>s. 11 y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B6251" w14:textId="45569665" w:rsidR="00622D59" w:rsidRDefault="00622D59">
    <w:pPr>
      <w:pStyle w:val="Encabezado"/>
    </w:pPr>
    <w:r>
      <w:rPr>
        <w:noProof/>
      </w:rPr>
      <w:pict w14:anchorId="7128C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70313" o:spid="_x0000_s2050" type="#_x0000_t136" style="position:absolute;margin-left:0;margin-top:0;width:589.1pt;height:70.65pt;rotation:315;z-index:-251651072;mso-position-horizontal:center;mso-position-horizontal-relative:margin;mso-position-vertical:center;mso-position-vertical-relative:margin" o:allowincell="f" fillcolor="silver" stroked="f">
          <v:fill opacity=".5"/>
          <v:textpath style="font-family:&quot;Calibri&quot;;font-size:1pt" string="PUBLICADO PARA COMENTARIO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FAAE9" w14:textId="5304D24D" w:rsidR="00EA6DF8" w:rsidRDefault="00622D59" w:rsidP="00EA6DF8">
    <w:pPr>
      <w:pStyle w:val="Encabezado"/>
      <w:tabs>
        <w:tab w:val="clear" w:pos="9360"/>
      </w:tabs>
    </w:pPr>
    <w:r>
      <w:rPr>
        <w:noProof/>
      </w:rPr>
      <w:pict w14:anchorId="09927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70314" o:spid="_x0000_s2051" type="#_x0000_t136" style="position:absolute;margin-left:0;margin-top:0;width:589.1pt;height:70.65pt;rotation:315;z-index:-251649024;mso-position-horizontal:center;mso-position-horizontal-relative:margin;mso-position-vertical:center;mso-position-vertical-relative:margin" o:allowincell="f" fillcolor="silver" stroked="f">
          <v:fill opacity=".5"/>
          <v:textpath style="font-family:&quot;Calibri&quot;;font-size:1pt" string="PUBLICADO PARA COMENTARIOS"/>
        </v:shape>
      </w:pict>
    </w:r>
    <w:r w:rsidR="00740D92">
      <w:rPr>
        <w:noProof/>
        <w:lang w:val="es-CO" w:eastAsia="es-CO"/>
      </w:rPr>
      <w:drawing>
        <wp:anchor distT="0" distB="0" distL="114300" distR="114300" simplePos="0" relativeHeight="251660288" behindDoc="0" locked="0" layoutInCell="1" allowOverlap="1" wp14:anchorId="6335034D" wp14:editId="03CC926B">
          <wp:simplePos x="0" y="0"/>
          <wp:positionH relativeFrom="column">
            <wp:posOffset>-371475</wp:posOffset>
          </wp:positionH>
          <wp:positionV relativeFrom="paragraph">
            <wp:posOffset>-181610</wp:posOffset>
          </wp:positionV>
          <wp:extent cx="914400" cy="619648"/>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619648"/>
                  </a:xfrm>
                  <a:prstGeom prst="rect">
                    <a:avLst/>
                  </a:prstGeom>
                  <a:noFill/>
                  <a:ln>
                    <a:noFill/>
                  </a:ln>
                </pic:spPr>
              </pic:pic>
            </a:graphicData>
          </a:graphic>
          <wp14:sizeRelH relativeFrom="page">
            <wp14:pctWidth>0</wp14:pctWidth>
          </wp14:sizeRelH>
          <wp14:sizeRelV relativeFrom="page">
            <wp14:pctHeight>0</wp14:pctHeight>
          </wp14:sizeRelV>
        </wp:anchor>
      </w:drawing>
    </w:r>
    <w:r w:rsidR="00740D92">
      <w:rPr>
        <w:noProof/>
        <w:lang w:val="es-CO" w:eastAsia="es-CO"/>
      </w:rPr>
      <w:drawing>
        <wp:anchor distT="0" distB="0" distL="114300" distR="114300" simplePos="0" relativeHeight="251659264" behindDoc="1" locked="0" layoutInCell="1" allowOverlap="1" wp14:anchorId="5A19C67F" wp14:editId="29E0D5BF">
          <wp:simplePos x="0" y="0"/>
          <wp:positionH relativeFrom="column">
            <wp:posOffset>-908685</wp:posOffset>
          </wp:positionH>
          <wp:positionV relativeFrom="paragraph">
            <wp:posOffset>-459105</wp:posOffset>
          </wp:positionV>
          <wp:extent cx="7780020" cy="10067899"/>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matos-03.png"/>
                  <pic:cNvPicPr/>
                </pic:nvPicPr>
                <pic:blipFill>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780020" cy="10067899"/>
                  </a:xfrm>
                  <a:prstGeom prst="rect">
                    <a:avLst/>
                  </a:prstGeom>
                </pic:spPr>
              </pic:pic>
            </a:graphicData>
          </a:graphic>
        </wp:anchor>
      </w:drawing>
    </w:r>
    <w:r w:rsidR="00740D92">
      <w:tab/>
    </w:r>
  </w:p>
  <w:p w14:paraId="19AC7ADF" w14:textId="77777777" w:rsidR="00EA6DF8" w:rsidRDefault="00EA6D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A0E4" w14:textId="1BAB6FDF" w:rsidR="00622D59" w:rsidRDefault="00622D59">
    <w:pPr>
      <w:pStyle w:val="Encabezado"/>
    </w:pPr>
    <w:r>
      <w:rPr>
        <w:noProof/>
      </w:rPr>
      <w:pict w14:anchorId="08360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70312" o:spid="_x0000_s2049" type="#_x0000_t136" style="position:absolute;margin-left:0;margin-top:0;width:589.1pt;height:70.65pt;rotation:315;z-index:-251653120;mso-position-horizontal:center;mso-position-horizontal-relative:margin;mso-position-vertical:center;mso-position-vertical-relative:margin" o:allowincell="f" fillcolor="silver" stroked="f">
          <v:fill opacity=".5"/>
          <v:textpath style="font-family:&quot;Calibri&quot;;font-size:1pt" string="PUBLICADO PARA COMENTARIO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7519"/>
    <w:multiLevelType w:val="multilevel"/>
    <w:tmpl w:val="EB92DC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C853B4"/>
    <w:multiLevelType w:val="hybridMultilevel"/>
    <w:tmpl w:val="8ECE0422"/>
    <w:lvl w:ilvl="0" w:tplc="40E2954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405FD1"/>
    <w:multiLevelType w:val="hybridMultilevel"/>
    <w:tmpl w:val="BF1AE816"/>
    <w:lvl w:ilvl="0" w:tplc="F644599A">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957EA"/>
    <w:multiLevelType w:val="multilevel"/>
    <w:tmpl w:val="CBCCFE4A"/>
    <w:lvl w:ilvl="0">
      <w:start w:val="1"/>
      <w:numFmt w:val="decimal"/>
      <w:lvlText w:val="%1."/>
      <w:lvlJc w:val="left"/>
      <w:pPr>
        <w:ind w:left="720" w:hanging="360"/>
      </w:pPr>
      <w:rPr>
        <w:rFonts w:hint="default"/>
      </w:rPr>
    </w:lvl>
    <w:lvl w:ilvl="1">
      <w:start w:val="1"/>
      <w:numFmt w:val="decimal"/>
      <w:lvlText w:val="%1.%2."/>
      <w:lvlJc w:val="left"/>
      <w:pPr>
        <w:ind w:left="720" w:hanging="360"/>
      </w:pPr>
      <w:rPr>
        <w:u w:val="single"/>
      </w:rPr>
    </w:lvl>
    <w:lvl w:ilvl="2">
      <w:start w:val="1"/>
      <w:numFmt w:val="decimal"/>
      <w:isLgl/>
      <w:lvlText w:val="%1.%2.%3."/>
      <w:lvlJc w:val="left"/>
      <w:pPr>
        <w:ind w:left="1080" w:hanging="720"/>
      </w:pPr>
      <w:rPr>
        <w:rFonts w:hint="default"/>
        <w:i/>
        <w:iCs/>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5414A9"/>
    <w:multiLevelType w:val="hybridMultilevel"/>
    <w:tmpl w:val="B9185AA2"/>
    <w:lvl w:ilvl="0" w:tplc="26A00AE6">
      <w:start w:val="1"/>
      <w:numFmt w:val="bullet"/>
      <w:lvlText w:val=""/>
      <w:lvlJc w:val="left"/>
      <w:pPr>
        <w:ind w:left="720" w:hanging="360"/>
      </w:pPr>
      <w:rPr>
        <w:rFonts w:ascii="Symbol" w:hAnsi="Symbol"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D773F3"/>
    <w:multiLevelType w:val="hybridMultilevel"/>
    <w:tmpl w:val="2912E802"/>
    <w:lvl w:ilvl="0" w:tplc="4762C9C4">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B545B"/>
    <w:multiLevelType w:val="hybridMultilevel"/>
    <w:tmpl w:val="70C6C676"/>
    <w:lvl w:ilvl="0" w:tplc="81F04F60">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05"/>
    <w:rsid w:val="00061648"/>
    <w:rsid w:val="000A4074"/>
    <w:rsid w:val="000C39DA"/>
    <w:rsid w:val="000F4019"/>
    <w:rsid w:val="00111922"/>
    <w:rsid w:val="0019342B"/>
    <w:rsid w:val="001C7F71"/>
    <w:rsid w:val="00247AEF"/>
    <w:rsid w:val="002D1BB0"/>
    <w:rsid w:val="002F1CA0"/>
    <w:rsid w:val="003043F8"/>
    <w:rsid w:val="00370C52"/>
    <w:rsid w:val="003D33C0"/>
    <w:rsid w:val="00403CB7"/>
    <w:rsid w:val="005B4105"/>
    <w:rsid w:val="005B5D59"/>
    <w:rsid w:val="005E6103"/>
    <w:rsid w:val="00622D59"/>
    <w:rsid w:val="00622E60"/>
    <w:rsid w:val="00631DE9"/>
    <w:rsid w:val="00664AD1"/>
    <w:rsid w:val="006B26A9"/>
    <w:rsid w:val="006C2F41"/>
    <w:rsid w:val="006D7AD0"/>
    <w:rsid w:val="006E1044"/>
    <w:rsid w:val="00714EA7"/>
    <w:rsid w:val="00716929"/>
    <w:rsid w:val="00740D92"/>
    <w:rsid w:val="007742AF"/>
    <w:rsid w:val="00775E4C"/>
    <w:rsid w:val="007A1414"/>
    <w:rsid w:val="00834ED0"/>
    <w:rsid w:val="008556C4"/>
    <w:rsid w:val="00876022"/>
    <w:rsid w:val="00882964"/>
    <w:rsid w:val="008A7BD8"/>
    <w:rsid w:val="008E4916"/>
    <w:rsid w:val="008F4784"/>
    <w:rsid w:val="009233FA"/>
    <w:rsid w:val="00950A99"/>
    <w:rsid w:val="00957E96"/>
    <w:rsid w:val="00AF5FEB"/>
    <w:rsid w:val="00B33047"/>
    <w:rsid w:val="00C30D0A"/>
    <w:rsid w:val="00C3261C"/>
    <w:rsid w:val="00C45C0B"/>
    <w:rsid w:val="00C91E89"/>
    <w:rsid w:val="00CB1CE8"/>
    <w:rsid w:val="00D04648"/>
    <w:rsid w:val="00D44DB8"/>
    <w:rsid w:val="00D75E9F"/>
    <w:rsid w:val="00D7606C"/>
    <w:rsid w:val="00D94326"/>
    <w:rsid w:val="00DA31CA"/>
    <w:rsid w:val="00E1132D"/>
    <w:rsid w:val="00E42937"/>
    <w:rsid w:val="00EA6DF8"/>
    <w:rsid w:val="00EB783E"/>
    <w:rsid w:val="00F52BB9"/>
    <w:rsid w:val="00F935F1"/>
    <w:rsid w:val="00FE17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24ABD9"/>
  <w15:chartTrackingRefBased/>
  <w15:docId w15:val="{DA58792B-F377-4981-974B-B06B33CA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0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41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B4105"/>
    <w:rPr>
      <w:lang w:val="en-US"/>
    </w:rPr>
  </w:style>
  <w:style w:type="paragraph" w:styleId="Piedepgina">
    <w:name w:val="footer"/>
    <w:basedOn w:val="Normal"/>
    <w:link w:val="PiedepginaCar"/>
    <w:uiPriority w:val="99"/>
    <w:unhideWhenUsed/>
    <w:rsid w:val="005B41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B4105"/>
    <w:rPr>
      <w:lang w:val="en-US"/>
    </w:rPr>
  </w:style>
  <w:style w:type="paragraph" w:styleId="NormalWeb">
    <w:name w:val="Normal (Web)"/>
    <w:basedOn w:val="Normal"/>
    <w:uiPriority w:val="99"/>
    <w:unhideWhenUsed/>
    <w:rsid w:val="005B410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B4105"/>
    <w:rPr>
      <w:color w:val="0000FF"/>
      <w:u w:val="single"/>
    </w:rPr>
  </w:style>
  <w:style w:type="paragraph" w:styleId="Textonotapie">
    <w:name w:val="footnote text"/>
    <w:aliases w:val="FN,fn Car,footnote text Car,Footnotes Car,Footnote ak Car,footnote text,Footnote Text Char1 Char Char,Footnote Text3,Footnote Text12,ALTS FOOTNOTE12,Footnote Text Char112,Footnote Text Char Char Char12,ALTS FOOTNOT,Footnote reference,FA F"/>
    <w:basedOn w:val="Normal"/>
    <w:link w:val="TextonotapieCar"/>
    <w:uiPriority w:val="99"/>
    <w:unhideWhenUsed/>
    <w:qFormat/>
    <w:rsid w:val="005B4105"/>
    <w:pPr>
      <w:spacing w:after="0" w:line="240" w:lineRule="auto"/>
    </w:pPr>
    <w:rPr>
      <w:sz w:val="20"/>
      <w:szCs w:val="20"/>
    </w:rPr>
  </w:style>
  <w:style w:type="character" w:customStyle="1" w:styleId="TextonotapieCar">
    <w:name w:val="Texto nota pie Car"/>
    <w:aliases w:val="FN Car,fn Car Car,footnote text Car Car,Footnotes Car Car,Footnote ak Car Car,footnote text Car1,Footnote Text Char1 Char Char Car,Footnote Text3 Car,Footnote Text12 Car,ALTS FOOTNOTE12 Car,Footnote Text Char112 Car,ALTS FOOTNOT Car"/>
    <w:basedOn w:val="Fuentedeprrafopredeter"/>
    <w:link w:val="Textonotapie"/>
    <w:uiPriority w:val="99"/>
    <w:rsid w:val="005B4105"/>
    <w:rPr>
      <w:sz w:val="20"/>
      <w:szCs w:val="20"/>
      <w:lang w:val="en-US"/>
    </w:rPr>
  </w:style>
  <w:style w:type="character" w:styleId="Refdenotaalpie">
    <w:name w:val="footnote reference"/>
    <w:aliases w:val="Ref,de nota al pie,FC,Appel note de bas de p,Texto de nota al pie,Appel note d,Appel note de,Ref. de nota al pie 2,Appel note de bas de,fr,Footnote ReferenceW,Style 13,Pie de Página,Texto de nota al pi,Ref. de nota al,Pie de P‡gina,F"/>
    <w:basedOn w:val="Fuentedeprrafopredeter"/>
    <w:link w:val="4GChar"/>
    <w:uiPriority w:val="99"/>
    <w:unhideWhenUsed/>
    <w:qFormat/>
    <w:rsid w:val="005B4105"/>
    <w:rPr>
      <w:vertAlign w:val="superscript"/>
    </w:rPr>
  </w:style>
  <w:style w:type="paragraph" w:styleId="Sinespaciado">
    <w:name w:val="No Spacing"/>
    <w:link w:val="SinespaciadoCar"/>
    <w:uiPriority w:val="1"/>
    <w:qFormat/>
    <w:rsid w:val="005B4105"/>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4105"/>
    <w:rPr>
      <w:rFonts w:ascii="Calibri" w:eastAsia="Calibri" w:hAnsi="Calibri" w:cs="Times New Roman"/>
    </w:rPr>
  </w:style>
  <w:style w:type="paragraph" w:customStyle="1" w:styleId="xmsonormal">
    <w:name w:val="x_msonormal"/>
    <w:basedOn w:val="Normal"/>
    <w:rsid w:val="005B410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rkw40n0hpy4">
    <w:name w:val="markw40n0hpy4"/>
    <w:basedOn w:val="Fuentedeprrafopredeter"/>
    <w:rsid w:val="005B4105"/>
  </w:style>
  <w:style w:type="paragraph" w:customStyle="1" w:styleId="Textocomentario1">
    <w:name w:val="Texto comentario1"/>
    <w:basedOn w:val="Normal"/>
    <w:rsid w:val="00950A99"/>
    <w:pPr>
      <w:suppressAutoHyphens/>
      <w:spacing w:after="0" w:line="240" w:lineRule="auto"/>
    </w:pPr>
    <w:rPr>
      <w:rFonts w:ascii="Times New Roman" w:eastAsia="Times New Roman" w:hAnsi="Times New Roman" w:cs="Times New Roman"/>
      <w:sz w:val="20"/>
      <w:szCs w:val="20"/>
      <w:lang w:val="es-ES" w:eastAsia="ar-SA"/>
    </w:rPr>
  </w:style>
  <w:style w:type="character" w:styleId="Mencinsinresolver">
    <w:name w:val="Unresolved Mention"/>
    <w:basedOn w:val="Fuentedeprrafopredeter"/>
    <w:uiPriority w:val="99"/>
    <w:semiHidden/>
    <w:unhideWhenUsed/>
    <w:rsid w:val="00F935F1"/>
    <w:rPr>
      <w:color w:val="605E5C"/>
      <w:shd w:val="clear" w:color="auto" w:fill="E1DFDD"/>
    </w:rPr>
  </w:style>
  <w:style w:type="paragraph" w:styleId="Prrafodelista">
    <w:name w:val="List Paragraph"/>
    <w:basedOn w:val="Normal"/>
    <w:link w:val="PrrafodelistaCar"/>
    <w:uiPriority w:val="34"/>
    <w:qFormat/>
    <w:rsid w:val="00C91E89"/>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B1CE8"/>
    <w:pPr>
      <w:spacing w:after="0" w:line="240" w:lineRule="auto"/>
      <w:jc w:val="both"/>
    </w:pPr>
    <w:rPr>
      <w:vertAlign w:val="superscript"/>
      <w:lang w:val="es-CO"/>
    </w:rPr>
  </w:style>
  <w:style w:type="character" w:customStyle="1" w:styleId="PrrafodelistaCar">
    <w:name w:val="Párrafo de lista Car"/>
    <w:link w:val="Prrafodelista"/>
    <w:uiPriority w:val="34"/>
    <w:locked/>
    <w:rsid w:val="00CB1CE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69944">
      <w:bodyDiv w:val="1"/>
      <w:marLeft w:val="0"/>
      <w:marRight w:val="0"/>
      <w:marTop w:val="0"/>
      <w:marBottom w:val="0"/>
      <w:divBdr>
        <w:top w:val="none" w:sz="0" w:space="0" w:color="auto"/>
        <w:left w:val="none" w:sz="0" w:space="0" w:color="auto"/>
        <w:bottom w:val="none" w:sz="0" w:space="0" w:color="auto"/>
        <w:right w:val="none" w:sz="0" w:space="0" w:color="auto"/>
      </w:divBdr>
    </w:div>
    <w:div w:id="569076558">
      <w:bodyDiv w:val="1"/>
      <w:marLeft w:val="0"/>
      <w:marRight w:val="0"/>
      <w:marTop w:val="0"/>
      <w:marBottom w:val="0"/>
      <w:divBdr>
        <w:top w:val="none" w:sz="0" w:space="0" w:color="auto"/>
        <w:left w:val="none" w:sz="0" w:space="0" w:color="auto"/>
        <w:bottom w:val="none" w:sz="0" w:space="0" w:color="auto"/>
        <w:right w:val="none" w:sz="0" w:space="0" w:color="auto"/>
      </w:divBdr>
    </w:div>
    <w:div w:id="754017592">
      <w:bodyDiv w:val="1"/>
      <w:marLeft w:val="0"/>
      <w:marRight w:val="0"/>
      <w:marTop w:val="0"/>
      <w:marBottom w:val="0"/>
      <w:divBdr>
        <w:top w:val="none" w:sz="0" w:space="0" w:color="auto"/>
        <w:left w:val="none" w:sz="0" w:space="0" w:color="auto"/>
        <w:bottom w:val="none" w:sz="0" w:space="0" w:color="auto"/>
        <w:right w:val="none" w:sz="0" w:space="0" w:color="auto"/>
      </w:divBdr>
    </w:div>
    <w:div w:id="774442338">
      <w:bodyDiv w:val="1"/>
      <w:marLeft w:val="0"/>
      <w:marRight w:val="0"/>
      <w:marTop w:val="0"/>
      <w:marBottom w:val="0"/>
      <w:divBdr>
        <w:top w:val="none" w:sz="0" w:space="0" w:color="auto"/>
        <w:left w:val="none" w:sz="0" w:space="0" w:color="auto"/>
        <w:bottom w:val="none" w:sz="0" w:space="0" w:color="auto"/>
        <w:right w:val="none" w:sz="0" w:space="0" w:color="auto"/>
      </w:divBdr>
    </w:div>
    <w:div w:id="830868746">
      <w:bodyDiv w:val="1"/>
      <w:marLeft w:val="0"/>
      <w:marRight w:val="0"/>
      <w:marTop w:val="0"/>
      <w:marBottom w:val="0"/>
      <w:divBdr>
        <w:top w:val="none" w:sz="0" w:space="0" w:color="auto"/>
        <w:left w:val="none" w:sz="0" w:space="0" w:color="auto"/>
        <w:bottom w:val="none" w:sz="0" w:space="0" w:color="auto"/>
        <w:right w:val="none" w:sz="0" w:space="0" w:color="auto"/>
      </w:divBdr>
    </w:div>
    <w:div w:id="856845490">
      <w:bodyDiv w:val="1"/>
      <w:marLeft w:val="0"/>
      <w:marRight w:val="0"/>
      <w:marTop w:val="0"/>
      <w:marBottom w:val="0"/>
      <w:divBdr>
        <w:top w:val="none" w:sz="0" w:space="0" w:color="auto"/>
        <w:left w:val="none" w:sz="0" w:space="0" w:color="auto"/>
        <w:bottom w:val="none" w:sz="0" w:space="0" w:color="auto"/>
        <w:right w:val="none" w:sz="0" w:space="0" w:color="auto"/>
      </w:divBdr>
    </w:div>
    <w:div w:id="947003992">
      <w:bodyDiv w:val="1"/>
      <w:marLeft w:val="0"/>
      <w:marRight w:val="0"/>
      <w:marTop w:val="0"/>
      <w:marBottom w:val="0"/>
      <w:divBdr>
        <w:top w:val="none" w:sz="0" w:space="0" w:color="auto"/>
        <w:left w:val="none" w:sz="0" w:space="0" w:color="auto"/>
        <w:bottom w:val="none" w:sz="0" w:space="0" w:color="auto"/>
        <w:right w:val="none" w:sz="0" w:space="0" w:color="auto"/>
      </w:divBdr>
    </w:div>
    <w:div w:id="1125349939">
      <w:bodyDiv w:val="1"/>
      <w:marLeft w:val="0"/>
      <w:marRight w:val="0"/>
      <w:marTop w:val="0"/>
      <w:marBottom w:val="0"/>
      <w:divBdr>
        <w:top w:val="none" w:sz="0" w:space="0" w:color="auto"/>
        <w:left w:val="none" w:sz="0" w:space="0" w:color="auto"/>
        <w:bottom w:val="none" w:sz="0" w:space="0" w:color="auto"/>
        <w:right w:val="none" w:sz="0" w:space="0" w:color="auto"/>
      </w:divBdr>
    </w:div>
    <w:div w:id="1383599212">
      <w:bodyDiv w:val="1"/>
      <w:marLeft w:val="0"/>
      <w:marRight w:val="0"/>
      <w:marTop w:val="0"/>
      <w:marBottom w:val="0"/>
      <w:divBdr>
        <w:top w:val="none" w:sz="0" w:space="0" w:color="auto"/>
        <w:left w:val="none" w:sz="0" w:space="0" w:color="auto"/>
        <w:bottom w:val="none" w:sz="0" w:space="0" w:color="auto"/>
        <w:right w:val="none" w:sz="0" w:space="0" w:color="auto"/>
      </w:divBdr>
    </w:div>
    <w:div w:id="1648705688">
      <w:bodyDiv w:val="1"/>
      <w:marLeft w:val="0"/>
      <w:marRight w:val="0"/>
      <w:marTop w:val="0"/>
      <w:marBottom w:val="0"/>
      <w:divBdr>
        <w:top w:val="none" w:sz="0" w:space="0" w:color="auto"/>
        <w:left w:val="none" w:sz="0" w:space="0" w:color="auto"/>
        <w:bottom w:val="none" w:sz="0" w:space="0" w:color="auto"/>
        <w:right w:val="none" w:sz="0" w:space="0" w:color="auto"/>
      </w:divBdr>
    </w:div>
    <w:div w:id="2134522584">
      <w:bodyDiv w:val="1"/>
      <w:marLeft w:val="0"/>
      <w:marRight w:val="0"/>
      <w:marTop w:val="0"/>
      <w:marBottom w:val="0"/>
      <w:divBdr>
        <w:top w:val="none" w:sz="0" w:space="0" w:color="auto"/>
        <w:left w:val="none" w:sz="0" w:space="0" w:color="auto"/>
        <w:bottom w:val="none" w:sz="0" w:space="0" w:color="auto"/>
        <w:right w:val="none" w:sz="0" w:space="0" w:color="auto"/>
      </w:divBdr>
    </w:div>
    <w:div w:id="21402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E1BB-0101-4C53-BBFF-9F685915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1748</Words>
  <Characters>9615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Andres Guarin Villabon</dc:creator>
  <cp:keywords/>
  <dc:description/>
  <cp:lastModifiedBy>Camilo Pabón Almanza</cp:lastModifiedBy>
  <cp:revision>13</cp:revision>
  <dcterms:created xsi:type="dcterms:W3CDTF">2020-11-06T04:37:00Z</dcterms:created>
  <dcterms:modified xsi:type="dcterms:W3CDTF">2020-11-09T22:09:00Z</dcterms:modified>
</cp:coreProperties>
</file>