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2F5B6" w14:textId="3A2404D1" w:rsidR="00725733" w:rsidRPr="003E40DB" w:rsidRDefault="00725733" w:rsidP="003E40DB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es-CO"/>
        </w:rPr>
      </w:pPr>
    </w:p>
    <w:p w14:paraId="554C921F" w14:textId="77777777" w:rsidR="003E40DB" w:rsidRPr="003E40DB" w:rsidRDefault="003E40DB" w:rsidP="003E40DB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3E40DB">
        <w:rPr>
          <w:rFonts w:ascii="Arial Narrow" w:hAnsi="Arial Narrow" w:cs="Arial"/>
          <w:b/>
          <w:sz w:val="24"/>
          <w:szCs w:val="24"/>
        </w:rPr>
        <w:t>CIRCULAR EXTERNA No.</w:t>
      </w:r>
    </w:p>
    <w:p w14:paraId="7BC605F9" w14:textId="77777777" w:rsidR="00F00302" w:rsidRPr="003E40DB" w:rsidRDefault="00F00302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0312E49C" w14:textId="0158CADD" w:rsidR="00217AC6" w:rsidRPr="003E40DB" w:rsidRDefault="00F00302" w:rsidP="003E40DB">
      <w:pPr>
        <w:pStyle w:val="NormalWeb"/>
        <w:shd w:val="clear" w:color="auto" w:fill="FFFFFF"/>
        <w:spacing w:before="0" w:beforeAutospacing="0" w:after="0" w:afterAutospacing="0"/>
        <w:ind w:left="1440" w:hanging="1440"/>
        <w:contextualSpacing/>
        <w:jc w:val="both"/>
        <w:rPr>
          <w:rFonts w:ascii="Arial Narrow" w:hAnsi="Arial Narrow"/>
          <w:color w:val="212529"/>
          <w:lang w:val="es-CO"/>
        </w:rPr>
      </w:pPr>
      <w:r w:rsidRPr="003E40DB">
        <w:rPr>
          <w:rFonts w:ascii="Arial Narrow" w:hAnsi="Arial Narrow"/>
          <w:b/>
          <w:bCs/>
          <w:color w:val="212529"/>
          <w:lang w:val="es-CO"/>
        </w:rPr>
        <w:t>PARA</w:t>
      </w:r>
      <w:r w:rsidR="00725733" w:rsidRPr="003E40DB">
        <w:rPr>
          <w:rFonts w:ascii="Arial Narrow" w:hAnsi="Arial Narrow"/>
          <w:b/>
          <w:bCs/>
          <w:color w:val="212529"/>
          <w:lang w:val="es-CO"/>
        </w:rPr>
        <w:t>:</w:t>
      </w:r>
      <w:r w:rsidR="00725733" w:rsidRPr="003E40DB">
        <w:rPr>
          <w:rFonts w:ascii="Arial Narrow" w:hAnsi="Arial Narrow"/>
          <w:color w:val="212529"/>
          <w:lang w:val="es-CO"/>
        </w:rPr>
        <w:t xml:space="preserve"> </w:t>
      </w:r>
      <w:r w:rsidR="00217AC6" w:rsidRPr="003E40DB">
        <w:rPr>
          <w:rFonts w:ascii="Arial Narrow" w:hAnsi="Arial Narrow"/>
          <w:color w:val="212529"/>
          <w:lang w:val="es-CO"/>
        </w:rPr>
        <w:tab/>
      </w:r>
      <w:r w:rsidR="003E40DB" w:rsidRPr="003E40DB">
        <w:rPr>
          <w:rFonts w:ascii="Arial Narrow" w:hAnsi="Arial Narrow" w:cs="Arial"/>
          <w:lang w:val="es-CO"/>
        </w:rPr>
        <w:t>Sociedades portuarias marítimas, sociedades portuarias fluviales con vocación marítima, operadores portuarios y empresas de transporte marítimo y fluvial</w:t>
      </w:r>
    </w:p>
    <w:p w14:paraId="7E92FAC7" w14:textId="5A2A7940" w:rsidR="00217AC6" w:rsidRPr="003E40DB" w:rsidRDefault="00217AC6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2A7A7860" w14:textId="09309E4B" w:rsidR="00F00302" w:rsidRPr="003E40DB" w:rsidRDefault="00F00302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3E40DB">
        <w:rPr>
          <w:rFonts w:ascii="Arial Narrow" w:hAnsi="Arial Narrow"/>
          <w:b/>
          <w:bCs/>
          <w:color w:val="212529"/>
          <w:lang w:val="es-CO"/>
        </w:rPr>
        <w:t>DE:</w:t>
      </w:r>
      <w:r w:rsidRPr="003E40DB">
        <w:rPr>
          <w:rFonts w:ascii="Arial Narrow" w:hAnsi="Arial Narrow"/>
          <w:color w:val="212529"/>
          <w:lang w:val="es-CO"/>
        </w:rPr>
        <w:tab/>
      </w:r>
      <w:r w:rsidRPr="003E40DB">
        <w:rPr>
          <w:rFonts w:ascii="Arial Narrow" w:hAnsi="Arial Narrow"/>
          <w:color w:val="212529"/>
          <w:lang w:val="es-CO"/>
        </w:rPr>
        <w:tab/>
        <w:t>Superintendente de Transporte</w:t>
      </w:r>
    </w:p>
    <w:p w14:paraId="48D9771D" w14:textId="77777777" w:rsidR="00F00302" w:rsidRPr="003E40DB" w:rsidRDefault="00F00302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1EE3EDC6" w14:textId="73DDC637" w:rsidR="00725733" w:rsidRPr="003E40DB" w:rsidRDefault="00F00302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3E40DB">
        <w:rPr>
          <w:rFonts w:ascii="Arial Narrow" w:hAnsi="Arial Narrow"/>
          <w:b/>
          <w:bCs/>
          <w:color w:val="212529"/>
          <w:lang w:val="es-CO"/>
        </w:rPr>
        <w:t>ASUNTO</w:t>
      </w:r>
      <w:r w:rsidR="00725733" w:rsidRPr="003E40DB">
        <w:rPr>
          <w:rFonts w:ascii="Arial Narrow" w:hAnsi="Arial Narrow"/>
          <w:b/>
          <w:bCs/>
          <w:color w:val="212529"/>
          <w:lang w:val="es-CO"/>
        </w:rPr>
        <w:t>:</w:t>
      </w:r>
      <w:r w:rsidR="00725733" w:rsidRPr="003E40DB">
        <w:rPr>
          <w:rFonts w:ascii="Arial Narrow" w:hAnsi="Arial Narrow"/>
          <w:color w:val="212529"/>
          <w:lang w:val="es-CO"/>
        </w:rPr>
        <w:t xml:space="preserve"> </w:t>
      </w:r>
      <w:r w:rsidR="00217AC6" w:rsidRPr="003E40DB">
        <w:rPr>
          <w:rFonts w:ascii="Arial Narrow" w:hAnsi="Arial Narrow"/>
          <w:color w:val="212529"/>
          <w:lang w:val="es-CO"/>
        </w:rPr>
        <w:tab/>
      </w:r>
      <w:r w:rsidR="003E40DB" w:rsidRPr="003E40DB">
        <w:rPr>
          <w:rFonts w:ascii="Arial Narrow" w:eastAsia="Calibri" w:hAnsi="Arial Narrow" w:cs="Arial"/>
          <w:lang w:val="es-CO"/>
        </w:rPr>
        <w:t>Lineamientos para el uso de los dispositivos de autenticación biométrica</w:t>
      </w:r>
    </w:p>
    <w:p w14:paraId="469ED6D0" w14:textId="77777777" w:rsidR="00217AC6" w:rsidRPr="003E40DB" w:rsidRDefault="00217AC6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664698A9" w14:textId="77777777" w:rsidR="00217AC6" w:rsidRPr="003E40DB" w:rsidRDefault="00217AC6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1FCDA555" w14:textId="77777777" w:rsidR="00725733" w:rsidRPr="003E40DB" w:rsidRDefault="00725733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3E40DB">
        <w:rPr>
          <w:rStyle w:val="Textoennegrita"/>
          <w:rFonts w:ascii="Arial Narrow" w:hAnsi="Arial Narrow"/>
          <w:color w:val="212529"/>
          <w:lang w:val="es-CO"/>
        </w:rPr>
        <w:t>1. Objetivo y alcance</w:t>
      </w:r>
    </w:p>
    <w:p w14:paraId="23CE511E" w14:textId="77777777" w:rsidR="00B00F35" w:rsidRPr="003E40DB" w:rsidRDefault="00B00F35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624C86B1" w14:textId="4E1E7419" w:rsidR="003E40DB" w:rsidRPr="003E40DB" w:rsidRDefault="003E40DB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3E40DB">
        <w:rPr>
          <w:rFonts w:ascii="Arial Narrow" w:hAnsi="Arial Narrow"/>
          <w:color w:val="212529"/>
          <w:lang w:val="es-CO"/>
        </w:rPr>
        <w:t>De conformidad con lo previsto en la Ley 1 de 1991</w:t>
      </w:r>
      <w:r w:rsidRPr="003E40DB">
        <w:rPr>
          <w:rFonts w:ascii="Arial Narrow" w:hAnsi="Arial Narrow"/>
          <w:color w:val="212529"/>
          <w:vertAlign w:val="superscript"/>
          <w:lang w:val="es-CO"/>
        </w:rPr>
        <w:footnoteReference w:id="1"/>
      </w:r>
      <w:r w:rsidRPr="003E40DB">
        <w:rPr>
          <w:rFonts w:ascii="Arial Narrow" w:hAnsi="Arial Narrow"/>
          <w:color w:val="212529"/>
          <w:lang w:val="es-CO"/>
        </w:rPr>
        <w:t xml:space="preserve">, así como con los decretos 101 del 2000 y 2409 de 2018, la Superintendencia de Transporte ejerce las funciones de vigilancia, inspección y control que le corresponden al Presidente de la República como suprema autoridad administrativa en materia de tránsito, transporte y su infraestructura, así como de los servicios conexos y complementarios. </w:t>
      </w:r>
    </w:p>
    <w:p w14:paraId="6F6687DD" w14:textId="77777777" w:rsidR="003E40DB" w:rsidRPr="003E40DB" w:rsidRDefault="003E40DB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53340BA5" w14:textId="0047F46A" w:rsidR="003E40DB" w:rsidRPr="003E40DB" w:rsidRDefault="003E40DB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3E40DB">
        <w:rPr>
          <w:rFonts w:ascii="Arial Narrow" w:hAnsi="Arial Narrow"/>
          <w:color w:val="212529"/>
          <w:lang w:val="es-CO"/>
        </w:rPr>
        <w:t>Con fundamento en las funciones y facultades de la Superintendencia de Transporte,</w:t>
      </w:r>
      <w:r w:rsidRPr="003E40DB">
        <w:rPr>
          <w:rStyle w:val="Refdenotaalpie"/>
          <w:rFonts w:ascii="Arial Narrow" w:hAnsi="Arial Narrow" w:cs="Arial"/>
          <w:bCs/>
          <w:color w:val="000000" w:themeColor="text1"/>
          <w:lang w:val="es-CO"/>
        </w:rPr>
        <w:footnoteReference w:id="2"/>
      </w:r>
      <w:r w:rsidRPr="003E40DB">
        <w:rPr>
          <w:rFonts w:ascii="Arial Narrow" w:hAnsi="Arial Narrow"/>
          <w:color w:val="212529"/>
          <w:vertAlign w:val="superscript"/>
          <w:lang w:val="es-CO"/>
        </w:rPr>
        <w:t>-</w:t>
      </w:r>
      <w:r w:rsidRPr="003E40DB">
        <w:rPr>
          <w:rStyle w:val="Refdenotaalpie"/>
          <w:rFonts w:ascii="Arial Narrow" w:hAnsi="Arial Narrow"/>
          <w:color w:val="212529"/>
          <w:lang w:val="es-CO"/>
        </w:rPr>
        <w:footnoteReference w:id="3"/>
      </w:r>
      <w:r w:rsidRPr="003E40DB">
        <w:rPr>
          <w:rFonts w:ascii="Arial Narrow" w:hAnsi="Arial Narrow"/>
          <w:color w:val="212529"/>
          <w:lang w:val="es-CO"/>
        </w:rPr>
        <w:t xml:space="preserve"> se expiden instrucciones para las </w:t>
      </w:r>
      <w:r w:rsidRPr="003E40DB">
        <w:rPr>
          <w:rFonts w:ascii="Arial Narrow" w:hAnsi="Arial Narrow" w:cs="Arial"/>
          <w:lang w:val="es-CO"/>
        </w:rPr>
        <w:t xml:space="preserve">Sociedades Portuarias Marítimas, Sociedades Portuarias Fluviales con vocación Marítima, Operadores Portuarios, empresas de transporte marítimo y fluvial, </w:t>
      </w:r>
      <w:r w:rsidRPr="003E40DB">
        <w:rPr>
          <w:rFonts w:ascii="Arial Narrow" w:eastAsia="Calibri" w:hAnsi="Arial Narrow" w:cs="Arial"/>
          <w:lang w:val="es-CO"/>
        </w:rPr>
        <w:t>para el uso de los dispositivos de autenticación biométrica</w:t>
      </w:r>
      <w:r w:rsidRPr="003E40DB">
        <w:rPr>
          <w:rFonts w:ascii="Arial Narrow" w:hAnsi="Arial Narrow" w:cs="Arial"/>
          <w:lang w:val="es-CO"/>
        </w:rPr>
        <w:t>, en concordancia con las directrices emitidas por el Ministerio de Salud.</w:t>
      </w:r>
    </w:p>
    <w:p w14:paraId="5C31F04E" w14:textId="79A691B2" w:rsidR="00B00F35" w:rsidRPr="003E40DB" w:rsidRDefault="00B00F35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78AFF25E" w14:textId="70D91CC8" w:rsidR="00923836" w:rsidRPr="003E40DB" w:rsidRDefault="00725733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  <w:r w:rsidRPr="003E40DB">
        <w:rPr>
          <w:rStyle w:val="Textoennegrita"/>
          <w:rFonts w:ascii="Arial Narrow" w:hAnsi="Arial Narrow"/>
          <w:color w:val="212529"/>
          <w:lang w:val="es-CO"/>
        </w:rPr>
        <w:t xml:space="preserve">2. </w:t>
      </w:r>
      <w:r w:rsidR="003E40DB" w:rsidRPr="003E40DB">
        <w:rPr>
          <w:rStyle w:val="Textoennegrita"/>
          <w:rFonts w:ascii="Arial Narrow" w:hAnsi="Arial Narrow"/>
          <w:color w:val="212529"/>
          <w:lang w:val="es-CO"/>
        </w:rPr>
        <w:t>Fundamentos</w:t>
      </w:r>
    </w:p>
    <w:p w14:paraId="45521301" w14:textId="20B34E38" w:rsidR="00923836" w:rsidRDefault="00923836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b/>
          <w:bCs/>
          <w:color w:val="212529"/>
          <w:lang w:val="es-CO"/>
        </w:rPr>
      </w:pPr>
    </w:p>
    <w:p w14:paraId="530B1E0C" w14:textId="349A21D0" w:rsidR="003E40DB" w:rsidRPr="003E40DB" w:rsidRDefault="003E40DB" w:rsidP="003E40D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  <w:r>
        <w:rPr>
          <w:rFonts w:ascii="Arial Narrow" w:hAnsi="Arial Narrow" w:cs="Arial"/>
          <w:sz w:val="24"/>
          <w:szCs w:val="24"/>
          <w:lang w:val="es-CO"/>
        </w:rPr>
        <w:t>D</w:t>
      </w:r>
      <w:r w:rsidRPr="003E40DB">
        <w:rPr>
          <w:rFonts w:ascii="Arial Narrow" w:hAnsi="Arial Narrow" w:cs="Arial"/>
          <w:sz w:val="24"/>
          <w:szCs w:val="24"/>
          <w:lang w:val="es-CO"/>
        </w:rPr>
        <w:t>esde la declaración de la emergencia sanitaria en el país</w:t>
      </w:r>
      <w:r>
        <w:rPr>
          <w:rFonts w:ascii="Arial Narrow" w:hAnsi="Arial Narrow" w:cs="Arial"/>
          <w:sz w:val="24"/>
          <w:szCs w:val="24"/>
          <w:lang w:val="es-CO"/>
        </w:rPr>
        <w:t>,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la Superintendencia </w:t>
      </w:r>
      <w:r>
        <w:rPr>
          <w:rFonts w:ascii="Arial Narrow" w:hAnsi="Arial Narrow" w:cs="Arial"/>
          <w:sz w:val="24"/>
          <w:szCs w:val="24"/>
          <w:lang w:val="es-CO"/>
        </w:rPr>
        <w:t>ha adelantado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reuniones virtuales con los representantes de las sociedades portuarias</w:t>
      </w:r>
      <w:r>
        <w:rPr>
          <w:rFonts w:ascii="Arial Narrow" w:hAnsi="Arial Narrow" w:cs="Arial"/>
          <w:sz w:val="24"/>
          <w:szCs w:val="24"/>
          <w:lang w:val="es-CO"/>
        </w:rPr>
        <w:t>,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a efectos de continuar con la función de inspección y vigilancia que le corresponde y acompañar al sector portuario en la continuidad de las actividades portuarias. </w:t>
      </w:r>
    </w:p>
    <w:p w14:paraId="6C8C8899" w14:textId="77777777" w:rsidR="003E40DB" w:rsidRPr="003E40DB" w:rsidRDefault="003E40DB" w:rsidP="003E40D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66615868" w14:textId="5B9F2ED4" w:rsidR="003E40DB" w:rsidRPr="003E40DB" w:rsidRDefault="003E40DB" w:rsidP="003E40D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  <w:r w:rsidRPr="003E40DB">
        <w:rPr>
          <w:rFonts w:ascii="Arial Narrow" w:hAnsi="Arial Narrow" w:cs="Arial"/>
          <w:sz w:val="24"/>
          <w:szCs w:val="24"/>
          <w:lang w:val="es-CO"/>
        </w:rPr>
        <w:t xml:space="preserve">En el anterior contexto se han llevado a cabo </w:t>
      </w:r>
      <w:r>
        <w:rPr>
          <w:rFonts w:ascii="Arial Narrow" w:hAnsi="Arial Narrow" w:cs="Arial"/>
          <w:sz w:val="24"/>
          <w:szCs w:val="24"/>
          <w:lang w:val="es-CO"/>
        </w:rPr>
        <w:t>doce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reuniones virtuales en las cuales varios representantes de sociedades portuarias han manifestado la necesidad de usar los dispositivos biométricos para ingreso y salida del recinto portuario</w:t>
      </w:r>
      <w:r>
        <w:rPr>
          <w:rFonts w:ascii="Arial Narrow" w:hAnsi="Arial Narrow" w:cs="Arial"/>
          <w:sz w:val="24"/>
          <w:szCs w:val="24"/>
          <w:lang w:val="es-CO"/>
        </w:rPr>
        <w:t>,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pues les permite llevar a cabo trazabilidad e identificación exacta de todas las personas que ingresan a la terminal</w:t>
      </w:r>
      <w:r>
        <w:rPr>
          <w:rFonts w:ascii="Arial Narrow" w:hAnsi="Arial Narrow" w:cs="Arial"/>
          <w:sz w:val="24"/>
          <w:szCs w:val="24"/>
          <w:lang w:val="es-CO"/>
        </w:rPr>
        <w:t xml:space="preserve">, </w:t>
      </w:r>
      <w:r w:rsidRPr="003E40DB">
        <w:rPr>
          <w:rFonts w:ascii="Arial Narrow" w:hAnsi="Arial Narrow" w:cs="Arial"/>
          <w:sz w:val="24"/>
          <w:szCs w:val="24"/>
          <w:lang w:val="es-CO"/>
        </w:rPr>
        <w:t>permiten cumplir con la obligación de seguridad integral en los puertos</w:t>
      </w:r>
      <w:r>
        <w:rPr>
          <w:rFonts w:ascii="Arial Narrow" w:hAnsi="Arial Narrow" w:cs="Arial"/>
          <w:sz w:val="24"/>
          <w:szCs w:val="24"/>
          <w:lang w:val="es-CO"/>
        </w:rPr>
        <w:t>,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entre otras</w:t>
      </w:r>
      <w:r>
        <w:rPr>
          <w:rFonts w:ascii="Arial Narrow" w:hAnsi="Arial Narrow" w:cs="Arial"/>
          <w:sz w:val="24"/>
          <w:szCs w:val="24"/>
          <w:lang w:val="es-CO"/>
        </w:rPr>
        <w:t>,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como mecanismo de control para evitar la contaminación de la carga con drogas ilícitas y el fenómeno del narcotráfico.</w:t>
      </w:r>
    </w:p>
    <w:p w14:paraId="3F896D51" w14:textId="77777777" w:rsidR="003E40DB" w:rsidRPr="003E40DB" w:rsidRDefault="003E40DB" w:rsidP="003E40D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1633869C" w14:textId="709C0571" w:rsidR="003E40DB" w:rsidRDefault="003E40DB" w:rsidP="003E40D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  <w:r w:rsidRPr="003E40DB">
        <w:rPr>
          <w:rFonts w:ascii="Arial Narrow" w:hAnsi="Arial Narrow" w:cs="Arial"/>
          <w:sz w:val="24"/>
          <w:szCs w:val="24"/>
          <w:lang w:val="es-CO"/>
        </w:rPr>
        <w:t xml:space="preserve">Asimismo, reportaron que en varios casos el no uso de los sistemas biométricos </w:t>
      </w:r>
      <w:r>
        <w:rPr>
          <w:rFonts w:ascii="Arial Narrow" w:hAnsi="Arial Narrow" w:cs="Arial"/>
          <w:sz w:val="24"/>
          <w:szCs w:val="24"/>
          <w:lang w:val="es-CO"/>
        </w:rPr>
        <w:t>genera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aglomeración de trabajadores, contratistas y personal que ingresan y salen de los recintos portuarios, debido a los procesos manuales de verificación de identidad e información, lo cual pone en riesgo la salud de estas personas</w:t>
      </w:r>
      <w:r>
        <w:rPr>
          <w:rFonts w:ascii="Arial Narrow" w:hAnsi="Arial Narrow" w:cs="Arial"/>
          <w:sz w:val="24"/>
          <w:szCs w:val="24"/>
          <w:lang w:val="es-CO"/>
        </w:rPr>
        <w:t>.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</w:t>
      </w:r>
    </w:p>
    <w:p w14:paraId="2C89B0BF" w14:textId="394E4A0E" w:rsidR="003E40DB" w:rsidRDefault="003E40DB" w:rsidP="003E40D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0B7BDD8C" w14:textId="775D8476" w:rsidR="003E40DB" w:rsidRPr="003E40DB" w:rsidRDefault="003E40DB" w:rsidP="003E40D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  <w:r>
        <w:rPr>
          <w:rFonts w:ascii="Arial Narrow" w:hAnsi="Arial Narrow" w:cs="Arial"/>
          <w:sz w:val="24"/>
          <w:szCs w:val="24"/>
          <w:lang w:val="es-CO"/>
        </w:rPr>
        <w:t>Adicionalmente, la presente circular se publicó para comentarios en la página web de la Superintendencia de Transporte, de conformidad con lo previsto en la ley 1437 de 2011.</w:t>
      </w:r>
    </w:p>
    <w:p w14:paraId="19CC70AB" w14:textId="77777777" w:rsidR="003E40DB" w:rsidRPr="003E40DB" w:rsidRDefault="003E40DB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b/>
          <w:bCs/>
          <w:color w:val="212529"/>
          <w:lang w:val="es-CO"/>
        </w:rPr>
      </w:pPr>
    </w:p>
    <w:p w14:paraId="19BD9411" w14:textId="1D0521DE" w:rsidR="003E40DB" w:rsidRPr="003E40DB" w:rsidRDefault="003E40DB" w:rsidP="003E40DB">
      <w:pPr>
        <w:spacing w:after="0" w:line="240" w:lineRule="auto"/>
        <w:contextualSpacing/>
        <w:jc w:val="both"/>
        <w:rPr>
          <w:rFonts w:ascii="Arial Narrow" w:hAnsi="Arial Narrow" w:cs="Arial"/>
          <w:i/>
          <w:sz w:val="24"/>
          <w:szCs w:val="24"/>
          <w:lang w:val="es-CO"/>
        </w:rPr>
      </w:pPr>
      <w:r w:rsidRPr="003E40DB">
        <w:rPr>
          <w:rFonts w:ascii="Arial Narrow" w:hAnsi="Arial Narrow" w:cs="Arial"/>
          <w:sz w:val="24"/>
          <w:szCs w:val="24"/>
          <w:lang w:val="es-CO"/>
        </w:rPr>
        <w:t xml:space="preserve">A ese respecto, </w:t>
      </w:r>
      <w:r>
        <w:rPr>
          <w:rFonts w:ascii="Arial Narrow" w:hAnsi="Arial Narrow" w:cs="Arial"/>
          <w:sz w:val="24"/>
          <w:szCs w:val="24"/>
          <w:lang w:val="es-CO"/>
        </w:rPr>
        <w:t>e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n la </w:t>
      </w:r>
      <w:r>
        <w:rPr>
          <w:rFonts w:ascii="Arial Narrow" w:hAnsi="Arial Narrow" w:cs="Arial"/>
          <w:sz w:val="24"/>
          <w:szCs w:val="24"/>
          <w:lang w:val="es-CO"/>
        </w:rPr>
        <w:t>r</w:t>
      </w:r>
      <w:r w:rsidRPr="003E40DB">
        <w:rPr>
          <w:rFonts w:ascii="Arial Narrow" w:hAnsi="Arial Narrow" w:cs="Arial"/>
          <w:sz w:val="24"/>
          <w:szCs w:val="24"/>
          <w:lang w:val="es-CO"/>
        </w:rPr>
        <w:t>esolución 666 del 24 de abril de 2020 del Ministerio de Salud y Protección Social,</w:t>
      </w:r>
      <w:r w:rsidRPr="003E40DB">
        <w:rPr>
          <w:rStyle w:val="Refdenotaalpie"/>
          <w:rFonts w:ascii="Arial Narrow" w:hAnsi="Arial Narrow" w:cs="Arial"/>
          <w:sz w:val="24"/>
          <w:szCs w:val="24"/>
          <w:lang w:val="es-CO"/>
        </w:rPr>
        <w:footnoteReference w:id="4"/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se previó que en caso que no sea posible eliminar el uso de </w:t>
      </w:r>
      <w:r w:rsidRPr="003E40DB">
        <w:rPr>
          <w:rFonts w:ascii="Arial Narrow" w:hAnsi="Arial Narrow" w:cs="Arial"/>
          <w:iCs/>
          <w:sz w:val="24"/>
          <w:szCs w:val="24"/>
          <w:lang w:val="es-CO"/>
        </w:rPr>
        <w:t>los sistemas de control de ingreso por huella, se debe “establecer mecanismos de desinfección frecuente del dispositivo y de desinfección de manos luego del registro, por ejemplo, con alcohol glicerinado”.</w:t>
      </w:r>
      <w:r w:rsidRPr="003E40DB">
        <w:rPr>
          <w:rFonts w:ascii="Arial Narrow" w:hAnsi="Arial Narrow" w:cs="Arial"/>
          <w:sz w:val="24"/>
          <w:szCs w:val="24"/>
          <w:lang w:val="es-CO"/>
        </w:rPr>
        <w:t xml:space="preserve"> </w:t>
      </w:r>
    </w:p>
    <w:p w14:paraId="18E61F14" w14:textId="77777777" w:rsidR="003E40DB" w:rsidRPr="003E40DB" w:rsidRDefault="003E40DB" w:rsidP="003E40DB">
      <w:pPr>
        <w:spacing w:after="0" w:line="240" w:lineRule="auto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6AA82B07" w14:textId="4AD4DD9D" w:rsidR="003E40DB" w:rsidRPr="003E40DB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Considerando que l</w:t>
      </w:r>
      <w:r w:rsidRPr="003E40DB">
        <w:rPr>
          <w:rFonts w:ascii="Arial Narrow" w:eastAsiaTheme="minorHAnsi" w:hAnsi="Arial Narrow" w:cs="Arial"/>
          <w:sz w:val="24"/>
          <w:szCs w:val="24"/>
        </w:rPr>
        <w:t>as disposiciones de la Superintendencia de Industria y Comercio</w:t>
      </w:r>
      <w:r w:rsidRPr="003E40DB">
        <w:rPr>
          <w:rStyle w:val="Refdenotaalpie"/>
          <w:rFonts w:ascii="Arial Narrow" w:eastAsiaTheme="minorHAnsi" w:hAnsi="Arial Narrow" w:cs="Arial"/>
          <w:sz w:val="24"/>
          <w:szCs w:val="24"/>
        </w:rPr>
        <w:footnoteReference w:id="5"/>
      </w:r>
      <w:r w:rsidRPr="003E40DB">
        <w:rPr>
          <w:rFonts w:ascii="Arial Narrow" w:eastAsiaTheme="minorHAnsi" w:hAnsi="Arial Narrow" w:cs="Arial"/>
          <w:sz w:val="24"/>
          <w:szCs w:val="24"/>
        </w:rPr>
        <w:t xml:space="preserve"> son residuales respecto de las instrucciones que expidan las demás autoridades, </w:t>
      </w:r>
      <w:r w:rsidRPr="003E40DB">
        <w:rPr>
          <w:rFonts w:ascii="Arial Narrow" w:hAnsi="Arial Narrow" w:cs="Arial"/>
          <w:sz w:val="24"/>
          <w:szCs w:val="24"/>
        </w:rPr>
        <w:t xml:space="preserve">se hace necesario emitir los siguientes lineamientos para permitir el uso de los dispositivos de autenticación biométrica: </w:t>
      </w:r>
    </w:p>
    <w:p w14:paraId="23DCCF98" w14:textId="77777777" w:rsidR="003E40DB" w:rsidRPr="003E40DB" w:rsidRDefault="003E40DB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b/>
          <w:bCs/>
          <w:color w:val="212529"/>
          <w:lang w:val="es-CO"/>
        </w:rPr>
      </w:pPr>
    </w:p>
    <w:p w14:paraId="2B80F495" w14:textId="25BA0FF9" w:rsidR="003E40DB" w:rsidRPr="003E40DB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3E40DB">
        <w:rPr>
          <w:rFonts w:ascii="Arial Narrow" w:hAnsi="Arial Narrow" w:cs="Arial"/>
          <w:b/>
          <w:sz w:val="24"/>
          <w:szCs w:val="24"/>
        </w:rPr>
        <w:t>3. Instrucciones</w:t>
      </w:r>
    </w:p>
    <w:p w14:paraId="4EFA7C73" w14:textId="77777777" w:rsidR="003E40DB" w:rsidRPr="003E40DB" w:rsidRDefault="003E40DB" w:rsidP="003E40DB">
      <w:pPr>
        <w:pStyle w:val="Sinespaciado"/>
        <w:tabs>
          <w:tab w:val="left" w:pos="567"/>
        </w:tabs>
        <w:contextualSpacing/>
        <w:jc w:val="both"/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40F3AEF4" w14:textId="77777777" w:rsidR="003E40DB" w:rsidRPr="003E40DB" w:rsidRDefault="003E40DB" w:rsidP="003E40DB">
      <w:pPr>
        <w:pStyle w:val="Sinespaciado"/>
        <w:tabs>
          <w:tab w:val="left" w:pos="567"/>
        </w:tabs>
        <w:contextualSpacing/>
        <w:jc w:val="both"/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eastAsia="es-CO"/>
        </w:rPr>
      </w:pPr>
      <w:r w:rsidRPr="003E40DB">
        <w:rPr>
          <w:rFonts w:ascii="Arial Narrow" w:hAnsi="Arial Narrow" w:cs="Arial"/>
          <w:sz w:val="24"/>
          <w:szCs w:val="24"/>
        </w:rPr>
        <w:t xml:space="preserve">Las sociedades portuarias marítimas, sociedades portuarias fluviales con vocación marítima, operadores portuarios, empresas de transporte marítimo y fluvial </w:t>
      </w:r>
      <w:r w:rsidRPr="003E40DB"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val="es-ES" w:eastAsia="es-CO"/>
        </w:rPr>
        <w:t xml:space="preserve">podrán seguir utilizando </w:t>
      </w:r>
      <w:r w:rsidRPr="003E40DB">
        <w:rPr>
          <w:rFonts w:ascii="Arial Narrow" w:hAnsi="Arial Narrow" w:cs="Arial"/>
          <w:sz w:val="24"/>
          <w:szCs w:val="24"/>
        </w:rPr>
        <w:t>los dispositivos de autenticación biométrica</w:t>
      </w:r>
      <w:r w:rsidRPr="003E40DB"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eastAsia="es-CO"/>
        </w:rPr>
        <w:t>.</w:t>
      </w:r>
    </w:p>
    <w:p w14:paraId="0B3F18DC" w14:textId="77777777" w:rsidR="003E40DB" w:rsidRPr="003E40DB" w:rsidRDefault="003E40DB" w:rsidP="003E40DB">
      <w:pPr>
        <w:pStyle w:val="Sinespaciado"/>
        <w:tabs>
          <w:tab w:val="left" w:pos="567"/>
        </w:tabs>
        <w:contextualSpacing/>
        <w:jc w:val="both"/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7A852D14" w14:textId="00A08E58" w:rsidR="003E40DB" w:rsidRPr="003E40DB" w:rsidRDefault="003E40DB" w:rsidP="003E40DB">
      <w:pPr>
        <w:pStyle w:val="Sinespaciado"/>
        <w:tabs>
          <w:tab w:val="left" w:pos="567"/>
        </w:tabs>
        <w:contextualSpacing/>
        <w:jc w:val="both"/>
        <w:rPr>
          <w:rFonts w:ascii="Arial Narrow" w:eastAsia="Times New Roman" w:hAnsi="Arial Narrow" w:cs="Calibri"/>
          <w:b/>
          <w:color w:val="000000"/>
          <w:sz w:val="24"/>
          <w:szCs w:val="24"/>
          <w:bdr w:val="none" w:sz="0" w:space="0" w:color="auto" w:frame="1"/>
          <w:lang w:eastAsia="es-CO"/>
        </w:rPr>
      </w:pPr>
      <w:r w:rsidRPr="003E40DB"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eastAsia="es-CO"/>
        </w:rPr>
        <w:t>Para eso</w:t>
      </w:r>
      <w:r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eastAsia="es-CO"/>
        </w:rPr>
        <w:t>s</w:t>
      </w:r>
      <w:r w:rsidRPr="003E40DB"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eastAsia="es-CO"/>
        </w:rPr>
        <w:t xml:space="preserve"> efectos, </w:t>
      </w:r>
      <w:r w:rsidRPr="003E40DB">
        <w:rPr>
          <w:rFonts w:ascii="Arial Narrow" w:hAnsi="Arial Narrow" w:cs="Arial"/>
          <w:sz w:val="24"/>
          <w:szCs w:val="24"/>
        </w:rPr>
        <w:t>deberán adoptar</w:t>
      </w:r>
      <w:r w:rsidR="00845D86">
        <w:rPr>
          <w:rFonts w:ascii="Arial Narrow" w:hAnsi="Arial Narrow" w:cs="Arial"/>
          <w:sz w:val="24"/>
          <w:szCs w:val="24"/>
        </w:rPr>
        <w:t xml:space="preserve"> </w:t>
      </w:r>
      <w:r w:rsidR="00845D86" w:rsidRPr="003E40DB">
        <w:rPr>
          <w:rFonts w:ascii="Arial Narrow" w:hAnsi="Arial Narrow" w:cs="Arial"/>
          <w:iCs/>
          <w:sz w:val="24"/>
          <w:szCs w:val="24"/>
        </w:rPr>
        <w:t>mecanismos de desinfección frecuente del dispositivo y de desinfección de manos luego del registro, por ejemplo, con alcohol glicerinado.</w:t>
      </w:r>
      <w:r w:rsidR="00845D86" w:rsidRPr="003E40DB">
        <w:rPr>
          <w:rFonts w:ascii="Arial Narrow" w:hAnsi="Arial Narrow" w:cs="Arial"/>
          <w:sz w:val="24"/>
          <w:szCs w:val="24"/>
        </w:rPr>
        <w:t xml:space="preserve"> </w:t>
      </w:r>
      <w:r w:rsidR="000929F2">
        <w:rPr>
          <w:rFonts w:ascii="Arial Narrow" w:hAnsi="Arial Narrow" w:cs="Arial"/>
          <w:sz w:val="24"/>
          <w:szCs w:val="24"/>
        </w:rPr>
        <w:t>Se deberá establecer un protocolo de esta actividad en el que se describirá por lo menos el tipo de agente desinfectante, rutina de limpieza, personal a cargo y supervisión del procedimiento.</w:t>
      </w:r>
      <w:bookmarkStart w:id="0" w:name="_GoBack"/>
      <w:bookmarkEnd w:id="0"/>
    </w:p>
    <w:p w14:paraId="621F4848" w14:textId="77777777" w:rsidR="003E40DB" w:rsidRPr="003E40DB" w:rsidRDefault="003E40DB" w:rsidP="003E40DB">
      <w:pPr>
        <w:pStyle w:val="Sinespaciado"/>
        <w:tabs>
          <w:tab w:val="left" w:pos="567"/>
        </w:tabs>
        <w:contextualSpacing/>
        <w:jc w:val="both"/>
        <w:rPr>
          <w:rFonts w:ascii="Arial Narrow" w:eastAsia="Times New Roman" w:hAnsi="Arial Narrow" w:cs="Calibri"/>
          <w:color w:val="000000"/>
          <w:sz w:val="24"/>
          <w:szCs w:val="24"/>
          <w:bdr w:val="none" w:sz="0" w:space="0" w:color="auto" w:frame="1"/>
          <w:lang w:eastAsia="es-CO"/>
        </w:rPr>
      </w:pPr>
    </w:p>
    <w:p w14:paraId="6EB27409" w14:textId="551FBB18" w:rsidR="003E40DB" w:rsidRPr="003E40DB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r w:rsidRPr="003E40DB">
        <w:rPr>
          <w:rFonts w:ascii="Arial Narrow" w:hAnsi="Arial Narrow" w:cs="Arial"/>
          <w:sz w:val="24"/>
          <w:szCs w:val="24"/>
        </w:rPr>
        <w:t xml:space="preserve">La Superintendencia de Transporte </w:t>
      </w:r>
      <w:r>
        <w:rPr>
          <w:rFonts w:ascii="Arial Narrow" w:hAnsi="Arial Narrow" w:cs="Arial"/>
          <w:sz w:val="24"/>
          <w:szCs w:val="24"/>
        </w:rPr>
        <w:t xml:space="preserve">y las autoridades sanitarias </w:t>
      </w:r>
      <w:r w:rsidRPr="003E40DB">
        <w:rPr>
          <w:rFonts w:ascii="Arial Narrow" w:hAnsi="Arial Narrow" w:cs="Arial"/>
          <w:sz w:val="24"/>
          <w:szCs w:val="24"/>
        </w:rPr>
        <w:t>podrá</w:t>
      </w:r>
      <w:r>
        <w:rPr>
          <w:rFonts w:ascii="Arial Narrow" w:hAnsi="Arial Narrow" w:cs="Arial"/>
          <w:sz w:val="24"/>
          <w:szCs w:val="24"/>
        </w:rPr>
        <w:t>n</w:t>
      </w:r>
      <w:r w:rsidRPr="003E40DB">
        <w:rPr>
          <w:rFonts w:ascii="Arial Narrow" w:hAnsi="Arial Narrow" w:cs="Arial"/>
          <w:sz w:val="24"/>
          <w:szCs w:val="24"/>
        </w:rPr>
        <w:t xml:space="preserve"> validar en cualquier momento </w:t>
      </w:r>
      <w:r>
        <w:rPr>
          <w:rFonts w:ascii="Arial Narrow" w:hAnsi="Arial Narrow" w:cs="Arial"/>
          <w:sz w:val="24"/>
          <w:szCs w:val="24"/>
        </w:rPr>
        <w:t>el cumplimiento de las presentes instrucciones.</w:t>
      </w:r>
    </w:p>
    <w:p w14:paraId="4F1A692A" w14:textId="77777777" w:rsidR="003E40DB" w:rsidRPr="003E40DB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3415FAD" w14:textId="2038BF17" w:rsidR="003E40DB" w:rsidRPr="003E40DB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b/>
          <w:sz w:val="24"/>
          <w:szCs w:val="24"/>
        </w:rPr>
      </w:pPr>
      <w:r w:rsidRPr="003E40DB">
        <w:rPr>
          <w:rFonts w:ascii="Arial Narrow" w:hAnsi="Arial Narrow" w:cs="Arial"/>
          <w:b/>
          <w:sz w:val="24"/>
          <w:szCs w:val="24"/>
        </w:rPr>
        <w:t>4. Vigencia</w:t>
      </w:r>
    </w:p>
    <w:p w14:paraId="3E004D82" w14:textId="77777777" w:rsidR="003E40DB" w:rsidRPr="003E40DB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2CAA5004" w14:textId="18D64EDC" w:rsidR="003E40DB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</w:rPr>
      </w:pPr>
      <w:r w:rsidRPr="003E40DB">
        <w:rPr>
          <w:rFonts w:ascii="Arial Narrow" w:hAnsi="Arial Narrow" w:cs="Arial"/>
          <w:sz w:val="24"/>
          <w:szCs w:val="24"/>
        </w:rPr>
        <w:t>La presente Circular rige a partir de su publicación en el Diario Oficial</w:t>
      </w:r>
      <w:r>
        <w:rPr>
          <w:rFonts w:ascii="Arial Narrow" w:hAnsi="Arial Narrow" w:cs="Arial"/>
          <w:sz w:val="24"/>
          <w:szCs w:val="24"/>
        </w:rPr>
        <w:t>. Publíquese igualmente en</w:t>
      </w:r>
      <w:r w:rsidRPr="003E40DB">
        <w:rPr>
          <w:rFonts w:ascii="Arial Narrow" w:hAnsi="Arial Narrow" w:cs="Arial"/>
          <w:sz w:val="24"/>
          <w:szCs w:val="24"/>
        </w:rPr>
        <w:t xml:space="preserve"> la página web oficial de la Superintendencia de Transporte. </w:t>
      </w:r>
    </w:p>
    <w:p w14:paraId="0D609D8F" w14:textId="77777777" w:rsidR="003E40DB" w:rsidRPr="003E40DB" w:rsidRDefault="003E40DB" w:rsidP="003E40DB">
      <w:pPr>
        <w:pStyle w:val="Sinespaciado"/>
        <w:tabs>
          <w:tab w:val="left" w:pos="284"/>
        </w:tabs>
        <w:contextualSpacing/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26D2B63C" w14:textId="77777777" w:rsidR="003E40DB" w:rsidRPr="003E40DB" w:rsidRDefault="003E40DB" w:rsidP="003E40DB">
      <w:pPr>
        <w:spacing w:after="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3E40DB">
        <w:rPr>
          <w:rFonts w:ascii="Arial Narrow" w:hAnsi="Arial Narrow" w:cs="Arial"/>
          <w:b/>
          <w:sz w:val="24"/>
          <w:szCs w:val="24"/>
        </w:rPr>
        <w:lastRenderedPageBreak/>
        <w:t>PUBLÍQUESE Y CÚMPLASE</w:t>
      </w:r>
    </w:p>
    <w:p w14:paraId="569326EE" w14:textId="66494C87" w:rsidR="00473B21" w:rsidRPr="003E40DB" w:rsidRDefault="00473B21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ES"/>
        </w:rPr>
      </w:pPr>
    </w:p>
    <w:p w14:paraId="0107646D" w14:textId="77777777" w:rsidR="00473B21" w:rsidRPr="003E40DB" w:rsidRDefault="00473B21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2414CDC2" w14:textId="77777777" w:rsidR="00473B21" w:rsidRPr="003E40DB" w:rsidRDefault="00473B21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color w:val="212529"/>
          <w:lang w:val="es-CO"/>
        </w:rPr>
      </w:pPr>
    </w:p>
    <w:p w14:paraId="05DCD2A5" w14:textId="77777777" w:rsidR="00473B21" w:rsidRPr="003E40DB" w:rsidRDefault="00473B21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 Narrow" w:hAnsi="Arial Narrow"/>
          <w:b/>
          <w:bCs/>
          <w:color w:val="212529"/>
          <w:lang w:val="es-CO"/>
        </w:rPr>
      </w:pPr>
    </w:p>
    <w:p w14:paraId="4E59C16B" w14:textId="2C465306" w:rsidR="00473B21" w:rsidRPr="003E40DB" w:rsidRDefault="003E40DB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Arial Narrow" w:hAnsi="Arial Narrow"/>
          <w:b/>
          <w:bCs/>
          <w:color w:val="212529"/>
          <w:lang w:val="es-CO"/>
        </w:rPr>
      </w:pPr>
      <w:r w:rsidRPr="003E40DB">
        <w:rPr>
          <w:rFonts w:ascii="Arial Narrow" w:hAnsi="Arial Narrow"/>
          <w:b/>
          <w:bCs/>
          <w:color w:val="212529"/>
          <w:lang w:val="es-CO"/>
        </w:rPr>
        <w:t>CAMILO PABÓN ALMANZA</w:t>
      </w:r>
    </w:p>
    <w:p w14:paraId="0850DEC5" w14:textId="21C64535" w:rsidR="00725733" w:rsidRPr="003E40DB" w:rsidRDefault="00725733" w:rsidP="003E40D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Arial Narrow" w:hAnsi="Arial Narrow"/>
          <w:color w:val="212529"/>
          <w:lang w:val="es-CO"/>
        </w:rPr>
      </w:pPr>
      <w:r w:rsidRPr="003E40DB">
        <w:rPr>
          <w:rFonts w:ascii="Arial Narrow" w:hAnsi="Arial Narrow"/>
          <w:color w:val="212529"/>
          <w:lang w:val="es-CO"/>
        </w:rPr>
        <w:t xml:space="preserve">Superintendente </w:t>
      </w:r>
      <w:r w:rsidR="00217AC6" w:rsidRPr="003E40DB">
        <w:rPr>
          <w:rFonts w:ascii="Arial Narrow" w:hAnsi="Arial Narrow"/>
          <w:color w:val="212529"/>
          <w:lang w:val="es-CO"/>
        </w:rPr>
        <w:t>de Transporte</w:t>
      </w:r>
    </w:p>
    <w:sectPr w:rsidR="00725733" w:rsidRPr="003E40DB" w:rsidSect="003E40DB">
      <w:headerReference w:type="default" r:id="rId8"/>
      <w:footerReference w:type="default" r:id="rId9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9BB96" w14:textId="77777777" w:rsidR="00FE2492" w:rsidRDefault="00FE2492" w:rsidP="00725733">
      <w:pPr>
        <w:spacing w:after="0" w:line="240" w:lineRule="auto"/>
      </w:pPr>
      <w:r>
        <w:separator/>
      </w:r>
    </w:p>
  </w:endnote>
  <w:endnote w:type="continuationSeparator" w:id="0">
    <w:p w14:paraId="536F9AE3" w14:textId="77777777" w:rsidR="00FE2492" w:rsidRDefault="00FE2492" w:rsidP="0072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2184C" w14:textId="061B19C2" w:rsidR="00217AC6" w:rsidRDefault="00217AC6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2BCC5910" wp14:editId="3C91CA7B">
          <wp:simplePos x="0" y="0"/>
          <wp:positionH relativeFrom="column">
            <wp:posOffset>4708295</wp:posOffset>
          </wp:positionH>
          <wp:positionV relativeFrom="paragraph">
            <wp:posOffset>-257810</wp:posOffset>
          </wp:positionV>
          <wp:extent cx="2072050" cy="496570"/>
          <wp:effectExtent l="0" t="0" r="444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580" cy="50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0CB9F" w14:textId="77777777" w:rsidR="00FE2492" w:rsidRDefault="00FE2492" w:rsidP="00725733">
      <w:pPr>
        <w:spacing w:after="0" w:line="240" w:lineRule="auto"/>
      </w:pPr>
      <w:r>
        <w:separator/>
      </w:r>
    </w:p>
  </w:footnote>
  <w:footnote w:type="continuationSeparator" w:id="0">
    <w:p w14:paraId="1BFB5568" w14:textId="77777777" w:rsidR="00FE2492" w:rsidRDefault="00FE2492" w:rsidP="00725733">
      <w:pPr>
        <w:spacing w:after="0" w:line="240" w:lineRule="auto"/>
      </w:pPr>
      <w:r>
        <w:continuationSeparator/>
      </w:r>
    </w:p>
  </w:footnote>
  <w:footnote w:id="1">
    <w:p w14:paraId="2CD81A81" w14:textId="77777777" w:rsidR="003E40DB" w:rsidRPr="003E40DB" w:rsidRDefault="003E40DB" w:rsidP="003E40DB">
      <w:pPr>
        <w:pStyle w:val="Textonotapie"/>
        <w:tabs>
          <w:tab w:val="left" w:pos="142"/>
        </w:tabs>
        <w:jc w:val="both"/>
        <w:rPr>
          <w:rFonts w:ascii="Arial Narrow" w:hAnsi="Arial Narrow"/>
          <w:lang w:val="es-CO"/>
        </w:rPr>
      </w:pPr>
      <w:r w:rsidRPr="003E40DB">
        <w:rPr>
          <w:rStyle w:val="Refdenotaalpie"/>
          <w:rFonts w:ascii="Arial Narrow" w:hAnsi="Arial Narrow"/>
        </w:rPr>
        <w:footnoteRef/>
      </w:r>
      <w:r w:rsidRPr="003E40DB">
        <w:rPr>
          <w:rFonts w:ascii="Arial Narrow" w:hAnsi="Arial Narrow"/>
          <w:lang w:val="es-CO"/>
        </w:rPr>
        <w:t xml:space="preserve"> Artículos 26, 27 y demás concordantes.</w:t>
      </w:r>
    </w:p>
  </w:footnote>
  <w:footnote w:id="2">
    <w:p w14:paraId="0EAFAA63" w14:textId="77777777" w:rsidR="003E40DB" w:rsidRPr="003E40DB" w:rsidRDefault="003E40DB" w:rsidP="003E40DB">
      <w:pPr>
        <w:pStyle w:val="Textonotapie"/>
        <w:jc w:val="both"/>
        <w:rPr>
          <w:rFonts w:ascii="Arial Narrow" w:hAnsi="Arial Narrow"/>
          <w:lang w:val="es-CO"/>
        </w:rPr>
      </w:pPr>
      <w:r w:rsidRPr="003E40DB">
        <w:rPr>
          <w:rStyle w:val="Refdenotaalpie"/>
          <w:rFonts w:ascii="Arial Narrow" w:hAnsi="Arial Narrow"/>
        </w:rPr>
        <w:footnoteRef/>
      </w:r>
      <w:r w:rsidRPr="003E40DB">
        <w:rPr>
          <w:rFonts w:ascii="Arial Narrow" w:hAnsi="Arial Narrow"/>
          <w:lang w:val="es-CO"/>
        </w:rPr>
        <w:t xml:space="preserve"> “La Superintendencia de Transporte tendrá las siguientes funciones: (...) 3. Vigilar, inspeccionar y controlar el cumplimiento de las disposiciones que regulan la debida prestación del servicio público de transporte, puertos, concesiones e infraestructura, servicios Conexos, y la protección de los usuarios del sector transporte. (...) </w:t>
      </w:r>
      <w:r w:rsidRPr="003E40DB">
        <w:rPr>
          <w:rFonts w:ascii="Arial Narrow" w:hAnsi="Arial Narrow"/>
          <w:b/>
          <w:bCs/>
          <w:lang w:val="es-CO"/>
        </w:rPr>
        <w:t>13. Impartir instrucciones para la debida prestación del servicio público de transporte,</w:t>
      </w:r>
      <w:r w:rsidRPr="003E40DB">
        <w:rPr>
          <w:rFonts w:ascii="Arial Narrow" w:hAnsi="Arial Narrow"/>
          <w:lang w:val="es-CO"/>
        </w:rPr>
        <w:t xml:space="preserve"> puertos, concesiones e infraestructura, servicios conexos, y la protección de los usuarios del sector transporte, así como en las demás áreas propias de sus funciones: </w:t>
      </w:r>
      <w:r w:rsidRPr="003E40DB">
        <w:rPr>
          <w:rFonts w:ascii="Arial Narrow" w:hAnsi="Arial Narrow"/>
          <w:b/>
          <w:bCs/>
          <w:lang w:val="es-CO"/>
        </w:rPr>
        <w:t>fijar criterios que faciliten su cumplimiento y señalar los trámites para su cabal aplicación.</w:t>
      </w:r>
      <w:r w:rsidRPr="003E40DB">
        <w:rPr>
          <w:rFonts w:ascii="Arial Narrow" w:hAnsi="Arial Narrow"/>
          <w:lang w:val="es-CO"/>
        </w:rPr>
        <w:t>” Cfr. Decreto 2409 de 2018 articulo 5.</w:t>
      </w:r>
    </w:p>
    <w:p w14:paraId="04284B98" w14:textId="77777777" w:rsidR="003E40DB" w:rsidRPr="003E40DB" w:rsidRDefault="003E40DB" w:rsidP="003E40DB">
      <w:pPr>
        <w:pStyle w:val="Textonotapie"/>
        <w:jc w:val="both"/>
        <w:rPr>
          <w:rFonts w:ascii="Arial Narrow" w:hAnsi="Arial Narrow"/>
          <w:lang w:val="es-CO"/>
        </w:rPr>
      </w:pPr>
      <w:r w:rsidRPr="003E40DB">
        <w:rPr>
          <w:rFonts w:ascii="Arial Narrow" w:hAnsi="Arial Narrow"/>
          <w:lang w:val="es-CO"/>
        </w:rPr>
        <w:t xml:space="preserve">"Son funciones del Despacho del Superintendente de Transporte: (...) </w:t>
      </w:r>
      <w:r w:rsidRPr="003E40DB">
        <w:rPr>
          <w:rFonts w:ascii="Arial Narrow" w:hAnsi="Arial Narrow"/>
          <w:b/>
          <w:bCs/>
          <w:lang w:val="es-CO"/>
        </w:rPr>
        <w:t>6.</w:t>
      </w:r>
      <w:r w:rsidRPr="003E40DB">
        <w:rPr>
          <w:rFonts w:ascii="Arial Narrow" w:hAnsi="Arial Narrow"/>
          <w:lang w:val="es-CO"/>
        </w:rPr>
        <w:t xml:space="preserve"> </w:t>
      </w:r>
      <w:r w:rsidRPr="003E40DB">
        <w:rPr>
          <w:rFonts w:ascii="Arial Narrow" w:hAnsi="Arial Narrow"/>
          <w:b/>
          <w:bCs/>
          <w:lang w:val="es-CO"/>
        </w:rPr>
        <w:t>Impartir instrucciones en malena de la prestación del servicio de transporte,</w:t>
      </w:r>
      <w:r w:rsidRPr="003E40DB">
        <w:rPr>
          <w:rFonts w:ascii="Arial Narrow" w:hAnsi="Arial Narrow"/>
          <w:lang w:val="es-CO"/>
        </w:rPr>
        <w:t xml:space="preserve"> la protección de sus usuarios, concesiones e infraestructura, servicios conexos; así como en las demás áreas propias de sus funciones: </w:t>
      </w:r>
      <w:r w:rsidRPr="003E40DB">
        <w:rPr>
          <w:rFonts w:ascii="Arial Narrow" w:hAnsi="Arial Narrow"/>
          <w:b/>
          <w:bCs/>
          <w:lang w:val="es-CO"/>
        </w:rPr>
        <w:t xml:space="preserve">fijar criterios que faciliten su cumplimiento y señalar los procedimientos para su cabal aplicación. </w:t>
      </w:r>
      <w:r w:rsidRPr="003E40DB">
        <w:rPr>
          <w:rFonts w:ascii="Arial Narrow" w:hAnsi="Arial Narrow"/>
          <w:lang w:val="es-CO"/>
        </w:rPr>
        <w:t>7. Vigilar, inspeccionar y controlar el cumplimiento de las disposiciones que regulan la debida prestación del servicio público de transporte, puertos, concesiones e infraestructura, servicios conexos, y la protección de los usuarios del sector transporte.” Cfr. Decreto 2409 de 2018 articulo 7</w:t>
      </w:r>
    </w:p>
  </w:footnote>
  <w:footnote w:id="3">
    <w:p w14:paraId="2D02B1B5" w14:textId="77777777" w:rsidR="003E40DB" w:rsidRPr="003E40DB" w:rsidRDefault="003E40DB" w:rsidP="003E40DB">
      <w:pPr>
        <w:pStyle w:val="Textonotapie"/>
        <w:jc w:val="both"/>
        <w:rPr>
          <w:rFonts w:ascii="Arial Narrow" w:hAnsi="Arial Narrow"/>
          <w:lang w:val="es-CO"/>
        </w:rPr>
      </w:pPr>
      <w:r w:rsidRPr="003E40DB">
        <w:rPr>
          <w:rStyle w:val="Refdenotaalpie"/>
          <w:rFonts w:ascii="Arial Narrow" w:hAnsi="Arial Narrow"/>
        </w:rPr>
        <w:footnoteRef/>
      </w:r>
      <w:r w:rsidRPr="003E40DB">
        <w:rPr>
          <w:rFonts w:ascii="Arial Narrow" w:hAnsi="Arial Narrow"/>
          <w:lang w:val="es-CO"/>
        </w:rPr>
        <w:t xml:space="preserve"> “(...) </w:t>
      </w:r>
      <w:r w:rsidRPr="003E40DB">
        <w:rPr>
          <w:rFonts w:ascii="Arial Narrow" w:hAnsi="Arial Narrow"/>
          <w:b/>
          <w:bCs/>
          <w:lang w:val="es-CO"/>
        </w:rPr>
        <w:t>Las superintendencias, entonces, cuentan por regla general, con la facultad de instruir a los destinatarios de su vigilancia y control sobre la forma de ejecutar de la mejor manera posible las normas que regulan sus actividades, y respecto de ciertos requisitos que ellos deben cumplir en aras de facilitar las labores de verificación y encauzamiento de las actividades</w:t>
      </w:r>
      <w:r w:rsidRPr="003E40DB">
        <w:rPr>
          <w:rFonts w:ascii="Arial Narrow" w:hAnsi="Arial Narrow"/>
          <w:lang w:val="es-CO"/>
        </w:rPr>
        <w:t xml:space="preserve">, que son necesarias para la efectiva vigilancia y control a cargo de dichas entidades.” (Negrilla fuera de texto) Cfr. H. Consejo de Estado Sala de lo Contencioso Administrativo. Sección Tercera. Sentencia del 8 de marzo de 2007. CP: Ramiro Saavedra Becerra. </w:t>
      </w:r>
      <w:r w:rsidRPr="003E40DB">
        <w:rPr>
          <w:rFonts w:ascii="Arial Narrow" w:hAnsi="Arial Narrow"/>
        </w:rPr>
        <w:t>Radicación número: 11001-03-26-000-1998-00017-00 (15071)</w:t>
      </w:r>
    </w:p>
  </w:footnote>
  <w:footnote w:id="4">
    <w:p w14:paraId="5F271415" w14:textId="278F441E" w:rsidR="003E40DB" w:rsidRPr="003E40DB" w:rsidRDefault="003E40DB" w:rsidP="003E40DB">
      <w:pPr>
        <w:pStyle w:val="Textonotapie"/>
        <w:jc w:val="both"/>
        <w:rPr>
          <w:rFonts w:ascii="Arial Narrow" w:hAnsi="Arial Narrow"/>
          <w:lang w:val="es-CO"/>
        </w:rPr>
      </w:pPr>
      <w:r w:rsidRPr="003E40DB">
        <w:rPr>
          <w:rStyle w:val="Refdenotaalpie"/>
          <w:rFonts w:ascii="Arial Narrow" w:hAnsi="Arial Narrow"/>
        </w:rPr>
        <w:footnoteRef/>
      </w:r>
      <w:r w:rsidRPr="003E40DB">
        <w:rPr>
          <w:rFonts w:ascii="Arial Narrow" w:hAnsi="Arial Narrow"/>
          <w:lang w:val="es-CO"/>
        </w:rPr>
        <w:t xml:space="preserve"> </w:t>
      </w:r>
      <w:r>
        <w:rPr>
          <w:rFonts w:ascii="Arial Narrow" w:hAnsi="Arial Narrow"/>
          <w:lang w:val="es-CO"/>
        </w:rPr>
        <w:t>Cfr.</w:t>
      </w:r>
      <w:r w:rsidRPr="003E40DB">
        <w:rPr>
          <w:rFonts w:ascii="Arial Narrow" w:hAnsi="Arial Narrow"/>
          <w:lang w:val="es-CO"/>
        </w:rPr>
        <w:t xml:space="preserve"> Anexo Técnico Protocolo de Bioseguridad para la prevención de la transmisión de COVID-19 en el punto 4.1.5 numeral 8.</w:t>
      </w:r>
    </w:p>
  </w:footnote>
  <w:footnote w:id="5">
    <w:p w14:paraId="342AA1D2" w14:textId="2D31E680" w:rsidR="003E40DB" w:rsidRPr="003E40DB" w:rsidRDefault="003E40DB" w:rsidP="003E40DB">
      <w:pPr>
        <w:pStyle w:val="Textonotapie"/>
        <w:jc w:val="both"/>
        <w:rPr>
          <w:rFonts w:ascii="Arial Narrow" w:hAnsi="Arial Narrow"/>
          <w:lang w:val="es-CO"/>
        </w:rPr>
      </w:pPr>
      <w:r w:rsidRPr="003E40DB">
        <w:rPr>
          <w:rStyle w:val="Refdenotaalpie"/>
          <w:rFonts w:ascii="Arial Narrow" w:hAnsi="Arial Narrow"/>
        </w:rPr>
        <w:footnoteRef/>
      </w:r>
      <w:r w:rsidRPr="003E40DB">
        <w:rPr>
          <w:rFonts w:ascii="Arial Narrow" w:hAnsi="Arial Narrow"/>
          <w:lang w:val="es-CO"/>
        </w:rPr>
        <w:t xml:space="preserve"> Cfr. </w:t>
      </w:r>
      <w:r w:rsidRPr="003E40DB">
        <w:rPr>
          <w:rFonts w:ascii="Arial Narrow" w:hAnsi="Arial Narrow" w:cs="Arial"/>
          <w:lang w:val="es-CO"/>
        </w:rPr>
        <w:t>Circular Externa 002 del 24 de marzo de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0151" w14:textId="04C79A70" w:rsidR="00725733" w:rsidRDefault="00725733" w:rsidP="00725733">
    <w:pPr>
      <w:pStyle w:val="Encabezado"/>
      <w:tabs>
        <w:tab w:val="clear" w:pos="9360"/>
      </w:tabs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61BC3F35" wp14:editId="6BA06B90">
          <wp:simplePos x="0" y="0"/>
          <wp:positionH relativeFrom="column">
            <wp:posOffset>-371475</wp:posOffset>
          </wp:positionH>
          <wp:positionV relativeFrom="paragraph">
            <wp:posOffset>-181610</wp:posOffset>
          </wp:positionV>
          <wp:extent cx="914400" cy="619648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1414FA0" wp14:editId="563E2B02">
          <wp:simplePos x="0" y="0"/>
          <wp:positionH relativeFrom="column">
            <wp:posOffset>-908685</wp:posOffset>
          </wp:positionH>
          <wp:positionV relativeFrom="paragraph">
            <wp:posOffset>-459105</wp:posOffset>
          </wp:positionV>
          <wp:extent cx="7780020" cy="10067899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out formatos-03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020" cy="10067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4F41738" w14:textId="35F7FFBF" w:rsidR="00725733" w:rsidRDefault="007257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439"/>
    <w:multiLevelType w:val="multilevel"/>
    <w:tmpl w:val="BC48C7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8CD2044"/>
    <w:multiLevelType w:val="hybridMultilevel"/>
    <w:tmpl w:val="847C2572"/>
    <w:lvl w:ilvl="0" w:tplc="FC501442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b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B32837"/>
    <w:multiLevelType w:val="multilevel"/>
    <w:tmpl w:val="BC48C7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CBC2061"/>
    <w:multiLevelType w:val="multilevel"/>
    <w:tmpl w:val="E230E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4" w15:restartNumberingAfterBreak="0">
    <w:nsid w:val="2DE97E69"/>
    <w:multiLevelType w:val="multilevel"/>
    <w:tmpl w:val="DEF855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2702C88"/>
    <w:multiLevelType w:val="multilevel"/>
    <w:tmpl w:val="E0B63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5CA4F16"/>
    <w:multiLevelType w:val="hybridMultilevel"/>
    <w:tmpl w:val="4948D1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77FE5"/>
    <w:multiLevelType w:val="hybridMultilevel"/>
    <w:tmpl w:val="7E6C6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213A8"/>
    <w:multiLevelType w:val="hybridMultilevel"/>
    <w:tmpl w:val="2F16C456"/>
    <w:lvl w:ilvl="0" w:tplc="77B4B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2259D1"/>
    <w:multiLevelType w:val="hybridMultilevel"/>
    <w:tmpl w:val="42702B9E"/>
    <w:lvl w:ilvl="0" w:tplc="9AC6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EA2C31"/>
    <w:multiLevelType w:val="multilevel"/>
    <w:tmpl w:val="3F5647D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436ED0"/>
    <w:multiLevelType w:val="multilevel"/>
    <w:tmpl w:val="1F80ED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0794D8A"/>
    <w:multiLevelType w:val="multilevel"/>
    <w:tmpl w:val="F140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30049BF"/>
    <w:multiLevelType w:val="multilevel"/>
    <w:tmpl w:val="2C7255D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368468F"/>
    <w:multiLevelType w:val="multilevel"/>
    <w:tmpl w:val="05609C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639227E6"/>
    <w:multiLevelType w:val="multilevel"/>
    <w:tmpl w:val="A580B9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BB4ED2"/>
    <w:multiLevelType w:val="multilevel"/>
    <w:tmpl w:val="08DA0E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070320"/>
    <w:multiLevelType w:val="multilevel"/>
    <w:tmpl w:val="25548B9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F6D6F14"/>
    <w:multiLevelType w:val="multilevel"/>
    <w:tmpl w:val="10EED69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95" w:hanging="435"/>
      </w:pPr>
      <w:rPr>
        <w:rFonts w:hint="default"/>
        <w:u w:val="single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19" w15:restartNumberingAfterBreak="0">
    <w:nsid w:val="791145F4"/>
    <w:multiLevelType w:val="multilevel"/>
    <w:tmpl w:val="C0D4020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18"/>
  </w:num>
  <w:num w:numId="8">
    <w:abstractNumId w:val="0"/>
  </w:num>
  <w:num w:numId="9">
    <w:abstractNumId w:val="2"/>
  </w:num>
  <w:num w:numId="10">
    <w:abstractNumId w:val="11"/>
  </w:num>
  <w:num w:numId="11">
    <w:abstractNumId w:val="14"/>
  </w:num>
  <w:num w:numId="12">
    <w:abstractNumId w:val="12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17"/>
  </w:num>
  <w:num w:numId="18">
    <w:abstractNumId w:val="16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33"/>
    <w:rsid w:val="000929F2"/>
    <w:rsid w:val="000C67B3"/>
    <w:rsid w:val="000D7AFC"/>
    <w:rsid w:val="00104753"/>
    <w:rsid w:val="001272F2"/>
    <w:rsid w:val="00167F5E"/>
    <w:rsid w:val="001771F6"/>
    <w:rsid w:val="001801D1"/>
    <w:rsid w:val="0019393E"/>
    <w:rsid w:val="001C3644"/>
    <w:rsid w:val="001E67C2"/>
    <w:rsid w:val="001E7546"/>
    <w:rsid w:val="00217AC6"/>
    <w:rsid w:val="00220D17"/>
    <w:rsid w:val="00237543"/>
    <w:rsid w:val="002B02CD"/>
    <w:rsid w:val="002E00EA"/>
    <w:rsid w:val="002E0AB6"/>
    <w:rsid w:val="002F677B"/>
    <w:rsid w:val="00306CC9"/>
    <w:rsid w:val="00315B63"/>
    <w:rsid w:val="0035537C"/>
    <w:rsid w:val="00360C13"/>
    <w:rsid w:val="0036160C"/>
    <w:rsid w:val="00367EAA"/>
    <w:rsid w:val="003757C3"/>
    <w:rsid w:val="003E40DB"/>
    <w:rsid w:val="004064D0"/>
    <w:rsid w:val="00471D84"/>
    <w:rsid w:val="00473B21"/>
    <w:rsid w:val="004963E4"/>
    <w:rsid w:val="004C2D6A"/>
    <w:rsid w:val="00554D70"/>
    <w:rsid w:val="00575901"/>
    <w:rsid w:val="00634DDD"/>
    <w:rsid w:val="00654827"/>
    <w:rsid w:val="00713B32"/>
    <w:rsid w:val="00725733"/>
    <w:rsid w:val="0075531D"/>
    <w:rsid w:val="007A407B"/>
    <w:rsid w:val="007A4B24"/>
    <w:rsid w:val="007B0668"/>
    <w:rsid w:val="007E4F1F"/>
    <w:rsid w:val="00811272"/>
    <w:rsid w:val="00845D86"/>
    <w:rsid w:val="008516D0"/>
    <w:rsid w:val="009051DE"/>
    <w:rsid w:val="00923836"/>
    <w:rsid w:val="009959AD"/>
    <w:rsid w:val="009E0E7C"/>
    <w:rsid w:val="00A2215C"/>
    <w:rsid w:val="00A24E2B"/>
    <w:rsid w:val="00AD0C77"/>
    <w:rsid w:val="00AF23F0"/>
    <w:rsid w:val="00B00F35"/>
    <w:rsid w:val="00B212F7"/>
    <w:rsid w:val="00B905D3"/>
    <w:rsid w:val="00B9188A"/>
    <w:rsid w:val="00BB47F7"/>
    <w:rsid w:val="00C204F3"/>
    <w:rsid w:val="00C240A7"/>
    <w:rsid w:val="00C66C1D"/>
    <w:rsid w:val="00CC4B1E"/>
    <w:rsid w:val="00CC6425"/>
    <w:rsid w:val="00CE4844"/>
    <w:rsid w:val="00D1765B"/>
    <w:rsid w:val="00D26B98"/>
    <w:rsid w:val="00D36439"/>
    <w:rsid w:val="00D7602F"/>
    <w:rsid w:val="00DA39A0"/>
    <w:rsid w:val="00E54EFB"/>
    <w:rsid w:val="00E618C5"/>
    <w:rsid w:val="00EB463B"/>
    <w:rsid w:val="00EB7820"/>
    <w:rsid w:val="00ED7730"/>
    <w:rsid w:val="00F00302"/>
    <w:rsid w:val="00F03591"/>
    <w:rsid w:val="00F209D1"/>
    <w:rsid w:val="00F37936"/>
    <w:rsid w:val="00F74A6D"/>
    <w:rsid w:val="00FB59B1"/>
    <w:rsid w:val="00FE2492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984D0"/>
  <w15:chartTrackingRefBased/>
  <w15:docId w15:val="{0E97F650-E4D8-4CC8-8868-DC10B440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733"/>
  </w:style>
  <w:style w:type="paragraph" w:styleId="Piedepgina">
    <w:name w:val="footer"/>
    <w:basedOn w:val="Normal"/>
    <w:link w:val="PiedepginaCar"/>
    <w:uiPriority w:val="99"/>
    <w:unhideWhenUsed/>
    <w:rsid w:val="00725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733"/>
  </w:style>
  <w:style w:type="paragraph" w:styleId="NormalWeb">
    <w:name w:val="Normal (Web)"/>
    <w:basedOn w:val="Normal"/>
    <w:uiPriority w:val="99"/>
    <w:unhideWhenUsed/>
    <w:rsid w:val="0072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573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25733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0F3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0F3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0F3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548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48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48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8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8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82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66C1D"/>
    <w:pPr>
      <w:ind w:left="720"/>
      <w:contextualSpacing/>
    </w:pPr>
    <w:rPr>
      <w:lang w:val="es-CO"/>
    </w:rPr>
  </w:style>
  <w:style w:type="table" w:customStyle="1" w:styleId="Tablanormal51">
    <w:name w:val="Tabla normal 51"/>
    <w:basedOn w:val="Tablanormal"/>
    <w:uiPriority w:val="45"/>
    <w:rsid w:val="00C66C1D"/>
    <w:pPr>
      <w:spacing w:after="0" w:line="240" w:lineRule="auto"/>
    </w:pPr>
    <w:rPr>
      <w:sz w:val="24"/>
      <w:szCs w:val="24"/>
      <w:lang w:val="es-C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E40DB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uiPriority w:val="1"/>
    <w:rsid w:val="003E40DB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2ACE-D352-4185-8FC7-8FF7001E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Pabón Almanza</dc:creator>
  <cp:keywords/>
  <dc:description/>
  <cp:lastModifiedBy>Álvaro Ceballos Suarez</cp:lastModifiedBy>
  <cp:revision>3</cp:revision>
  <dcterms:created xsi:type="dcterms:W3CDTF">2020-04-27T17:19:00Z</dcterms:created>
  <dcterms:modified xsi:type="dcterms:W3CDTF">2020-04-27T17:22:00Z</dcterms:modified>
</cp:coreProperties>
</file>